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292C88E5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83123C">
        <w:rPr>
          <w:rFonts w:ascii="Arial" w:eastAsia="Arial" w:hAnsi="Arial" w:cs="Arial"/>
          <w:b/>
          <w:sz w:val="28"/>
          <w:szCs w:val="28"/>
        </w:rPr>
        <w:t>4</w:t>
      </w:r>
      <w:r w:rsidR="00560E5A">
        <w:rPr>
          <w:rFonts w:ascii="Arial" w:eastAsia="Arial" w:hAnsi="Arial" w:cs="Arial"/>
          <w:b/>
          <w:sz w:val="28"/>
          <w:szCs w:val="28"/>
        </w:rPr>
        <w:t>5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1C47EFFD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560E5A">
        <w:rPr>
          <w:rFonts w:ascii="Arial" w:eastAsia="Arial" w:hAnsi="Arial" w:cs="Arial"/>
          <w:sz w:val="24"/>
          <w:szCs w:val="24"/>
        </w:rPr>
        <w:t>8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560E5A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F7542B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72712CB0" w:rsidR="00B94B67" w:rsidRPr="00560E5A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560E5A">
        <w:rPr>
          <w:rFonts w:ascii="Arial" w:eastAsia="Arial" w:hAnsi="Arial" w:cs="Arial"/>
          <w:sz w:val="24"/>
          <w:szCs w:val="24"/>
        </w:rPr>
        <w:t>As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of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560E5A">
        <w:rPr>
          <w:rFonts w:ascii="Arial" w:eastAsia="Arial" w:hAnsi="Arial" w:cs="Arial"/>
          <w:b/>
          <w:sz w:val="24"/>
          <w:szCs w:val="24"/>
        </w:rPr>
        <w:t>2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7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="00276093" w:rsidRPr="00560E5A">
        <w:rPr>
          <w:rFonts w:ascii="Arial" w:eastAsia="Arial" w:hAnsi="Arial" w:cs="Arial"/>
          <w:b/>
          <w:sz w:val="24"/>
          <w:szCs w:val="24"/>
        </w:rPr>
        <w:t>July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="00276093" w:rsidRPr="00560E5A">
        <w:rPr>
          <w:rFonts w:ascii="Arial" w:eastAsia="Arial" w:hAnsi="Arial" w:cs="Arial"/>
          <w:b/>
          <w:sz w:val="24"/>
          <w:szCs w:val="24"/>
        </w:rPr>
        <w:t>2020,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="001E2D6B" w:rsidRPr="00560E5A">
        <w:rPr>
          <w:rFonts w:ascii="Arial" w:eastAsia="Arial" w:hAnsi="Arial" w:cs="Arial"/>
          <w:b/>
          <w:sz w:val="24"/>
          <w:szCs w:val="24"/>
        </w:rPr>
        <w:t>4P</w:t>
      </w:r>
      <w:r w:rsidR="00316E57" w:rsidRPr="00560E5A">
        <w:rPr>
          <w:rFonts w:ascii="Arial" w:eastAsia="Arial" w:hAnsi="Arial" w:cs="Arial"/>
          <w:b/>
          <w:sz w:val="24"/>
          <w:szCs w:val="24"/>
        </w:rPr>
        <w:t>M</w:t>
      </w:r>
      <w:r w:rsidRPr="00560E5A">
        <w:rPr>
          <w:rFonts w:ascii="Arial" w:eastAsia="Arial" w:hAnsi="Arial" w:cs="Arial"/>
          <w:sz w:val="24"/>
          <w:szCs w:val="24"/>
        </w:rPr>
        <w:t>,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the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Department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of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Health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(DOH)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has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recorded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a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total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of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82</w:t>
      </w:r>
      <w:r w:rsidR="00270239" w:rsidRPr="00560E5A">
        <w:rPr>
          <w:rFonts w:ascii="Arial" w:eastAsia="Arial" w:hAnsi="Arial" w:cs="Arial"/>
          <w:b/>
          <w:sz w:val="24"/>
          <w:szCs w:val="24"/>
        </w:rPr>
        <w:t>,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040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b/>
          <w:sz w:val="24"/>
          <w:szCs w:val="24"/>
        </w:rPr>
        <w:t>confirmed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b/>
          <w:sz w:val="24"/>
          <w:szCs w:val="24"/>
        </w:rPr>
        <w:t>cases</w:t>
      </w:r>
      <w:r w:rsidRPr="00560E5A">
        <w:rPr>
          <w:rFonts w:ascii="Arial" w:eastAsia="Arial" w:hAnsi="Arial" w:cs="Arial"/>
          <w:sz w:val="24"/>
          <w:szCs w:val="24"/>
        </w:rPr>
        <w:t>;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of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which,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="00D102AD" w:rsidRPr="00560E5A">
        <w:rPr>
          <w:rFonts w:ascii="Arial" w:eastAsia="Arial" w:hAnsi="Arial" w:cs="Arial"/>
          <w:b/>
          <w:sz w:val="24"/>
          <w:szCs w:val="24"/>
        </w:rPr>
        <w:t>5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3</w:t>
      </w:r>
      <w:r w:rsidR="00C71305" w:rsidRPr="00560E5A">
        <w:rPr>
          <w:rFonts w:ascii="Arial" w:eastAsia="Arial" w:hAnsi="Arial" w:cs="Arial"/>
          <w:b/>
          <w:sz w:val="24"/>
          <w:szCs w:val="24"/>
        </w:rPr>
        <w:t>,</w:t>
      </w:r>
      <w:r w:rsidR="0052367C" w:rsidRPr="00560E5A">
        <w:rPr>
          <w:rFonts w:ascii="Arial" w:eastAsia="Arial" w:hAnsi="Arial" w:cs="Arial"/>
          <w:b/>
          <w:sz w:val="24"/>
          <w:szCs w:val="24"/>
        </w:rPr>
        <w:t>6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49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are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b/>
          <w:sz w:val="24"/>
          <w:szCs w:val="24"/>
        </w:rPr>
        <w:t>active</w:t>
      </w:r>
      <w:r w:rsidRPr="00560E5A">
        <w:rPr>
          <w:rFonts w:ascii="Arial" w:eastAsia="Arial" w:hAnsi="Arial" w:cs="Arial"/>
          <w:sz w:val="24"/>
          <w:szCs w:val="24"/>
        </w:rPr>
        <w:t>,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560E5A">
        <w:rPr>
          <w:rFonts w:ascii="Arial" w:eastAsia="Arial" w:hAnsi="Arial" w:cs="Arial"/>
          <w:b/>
          <w:sz w:val="24"/>
          <w:szCs w:val="24"/>
        </w:rPr>
        <w:t>2</w:t>
      </w:r>
      <w:r w:rsidR="0052367C" w:rsidRPr="00560E5A">
        <w:rPr>
          <w:rFonts w:ascii="Arial" w:eastAsia="Arial" w:hAnsi="Arial" w:cs="Arial"/>
          <w:b/>
          <w:sz w:val="24"/>
          <w:szCs w:val="24"/>
        </w:rPr>
        <w:t>6</w:t>
      </w:r>
      <w:r w:rsidR="00270239" w:rsidRPr="00560E5A">
        <w:rPr>
          <w:rFonts w:ascii="Arial" w:eastAsia="Arial" w:hAnsi="Arial" w:cs="Arial"/>
          <w:b/>
          <w:sz w:val="24"/>
          <w:szCs w:val="24"/>
        </w:rPr>
        <w:t>,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446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have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b/>
          <w:sz w:val="24"/>
          <w:szCs w:val="24"/>
        </w:rPr>
        <w:t>recovered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sz w:val="24"/>
          <w:szCs w:val="24"/>
        </w:rPr>
        <w:t>and</w:t>
      </w:r>
      <w:r w:rsidR="009266CC" w:rsidRPr="00560E5A">
        <w:rPr>
          <w:rFonts w:ascii="Arial" w:eastAsia="Arial" w:hAnsi="Arial" w:cs="Arial"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b/>
          <w:sz w:val="24"/>
          <w:szCs w:val="24"/>
        </w:rPr>
        <w:t>1</w:t>
      </w:r>
      <w:r w:rsidR="00C71305" w:rsidRPr="00560E5A">
        <w:rPr>
          <w:rFonts w:ascii="Arial" w:eastAsia="Arial" w:hAnsi="Arial" w:cs="Arial"/>
          <w:b/>
          <w:sz w:val="24"/>
          <w:szCs w:val="24"/>
        </w:rPr>
        <w:t>,</w:t>
      </w:r>
      <w:r w:rsidR="003B391F" w:rsidRPr="00560E5A">
        <w:rPr>
          <w:rFonts w:ascii="Arial" w:eastAsia="Arial" w:hAnsi="Arial" w:cs="Arial"/>
          <w:b/>
          <w:sz w:val="24"/>
          <w:szCs w:val="24"/>
        </w:rPr>
        <w:t>945</w:t>
      </w:r>
      <w:r w:rsidR="009266CC" w:rsidRPr="00560E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0E5A">
        <w:rPr>
          <w:rFonts w:ascii="Arial" w:eastAsia="Arial" w:hAnsi="Arial" w:cs="Arial"/>
          <w:b/>
          <w:sz w:val="24"/>
          <w:szCs w:val="24"/>
        </w:rPr>
        <w:t>deaths</w:t>
      </w:r>
      <w:r w:rsidRPr="00560E5A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084E2F6C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560E5A">
        <w:rPr>
          <w:rFonts w:ascii="Arial" w:eastAsia="Arial" w:hAnsi="Arial" w:cs="Arial"/>
          <w:i/>
          <w:color w:val="0070C0"/>
          <w:sz w:val="16"/>
          <w:szCs w:val="16"/>
        </w:rPr>
        <w:t>5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69CEFAD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1953D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72BC6" w:rsidRPr="00272B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15,482,009,530.77 </w:t>
      </w:r>
      <w:r w:rsidRPr="00F918A9">
        <w:rPr>
          <w:rFonts w:ascii="Arial" w:eastAsia="Arial" w:hAnsi="Arial" w:cs="Arial"/>
          <w:sz w:val="24"/>
          <w:szCs w:val="24"/>
        </w:rPr>
        <w:t>worth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assistance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was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provided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families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individuals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including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strandees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affected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community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quarantine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being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implemented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due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COVID-19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pandemic;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which,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8A0A5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72BC6" w:rsidRPr="00272B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712,366,181.21 </w:t>
      </w:r>
      <w:r w:rsidRPr="00F918A9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provided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272BC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272BC6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272B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72BC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72BC6" w:rsidRPr="00272B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14,338,849,350.17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272BC6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272BC6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272BC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Pr="00F918A9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F918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NGOs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Pr="00F918A9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F918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F918A9">
        <w:rPr>
          <w:rFonts w:ascii="Arial" w:eastAsia="Arial" w:hAnsi="Arial" w:cs="Arial"/>
          <w:b/>
          <w:sz w:val="20"/>
          <w:szCs w:val="20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(see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Table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54ABC5A7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395"/>
        <w:gridCol w:w="1313"/>
        <w:gridCol w:w="1437"/>
        <w:gridCol w:w="1315"/>
        <w:gridCol w:w="1315"/>
        <w:gridCol w:w="1436"/>
      </w:tblGrid>
      <w:tr w:rsidR="00272BC6" w:rsidRPr="00272BC6" w14:paraId="45112DCE" w14:textId="77777777" w:rsidTr="00272BC6">
        <w:trPr>
          <w:trHeight w:val="58"/>
          <w:tblHeader/>
        </w:trPr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E7A4CD" w14:textId="77777777" w:rsidR="00272BC6" w:rsidRPr="00272BC6" w:rsidRDefault="00272BC6" w:rsidP="00272B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AA1C6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72BC6" w:rsidRPr="00272BC6" w14:paraId="437F0D06" w14:textId="77777777" w:rsidTr="00272BC6">
        <w:trPr>
          <w:trHeight w:val="20"/>
          <w:tblHeader/>
        </w:trPr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2F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ADF2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374F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FDFF2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319F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ADD9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72BC6" w:rsidRPr="00272BC6" w14:paraId="5E28CB8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2E7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681636" w14:textId="064CFD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712,366,181.21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28E86A" w14:textId="76A137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14,338,849,350.17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68F956" w14:textId="267B7E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398,950,589.83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20F05" w14:textId="2D6121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76DDD4" w14:textId="0C7585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15,482,009,530.77 </w:t>
            </w:r>
          </w:p>
        </w:tc>
      </w:tr>
      <w:tr w:rsidR="00272BC6" w:rsidRPr="00272BC6" w14:paraId="5E32727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4FF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8BEC26" w14:textId="1F6520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124,461,279.60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EF6E3C" w14:textId="371EF7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1,633,868,218.85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64B403" w14:textId="42A332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AA41D" w14:textId="7EEE1D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56E23F" w14:textId="27583F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2,123,739,498.45 </w:t>
            </w:r>
          </w:p>
        </w:tc>
      </w:tr>
      <w:tr w:rsidR="00272BC6" w:rsidRPr="00272BC6" w14:paraId="705F5376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0D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A6E8" w14:textId="10F309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11,167,540.00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D857" w14:textId="256F09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5513" w14:textId="0C4225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A115" w14:textId="548E82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5AC0" w14:textId="43B9F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253,267,540.00 </w:t>
            </w:r>
          </w:p>
        </w:tc>
      </w:tr>
      <w:tr w:rsidR="00272BC6" w:rsidRPr="00272BC6" w14:paraId="135D9DC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BC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6EC7" w14:textId="5767F0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807E" w14:textId="4FCA61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41,838,500.00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1E17" w14:textId="09FA15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3AA9" w14:textId="757942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4B39" w14:textId="7D7698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59,470,950.00 </w:t>
            </w:r>
          </w:p>
        </w:tc>
      </w:tr>
      <w:tr w:rsidR="00272BC6" w:rsidRPr="00272BC6" w14:paraId="7462A8C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AD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7837" w14:textId="346612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5,923,566.00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ADB9" w14:textId="59E4EC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30,306,750.00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6094" w14:textId="6FAEDE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0DD1" w14:textId="05370B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F51A" w14:textId="67E8DE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42,480,316.00 </w:t>
            </w:r>
          </w:p>
        </w:tc>
      </w:tr>
      <w:tr w:rsidR="00272BC6" w:rsidRPr="00272BC6" w14:paraId="23A6608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EA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8986" w14:textId="52828C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6,353,800.00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A55C" w14:textId="35D2E0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1,543,580.00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7F6E" w14:textId="62AC79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83F8" w14:textId="64BF94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6EE0" w14:textId="7A0085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44,404,880.00 </w:t>
            </w:r>
          </w:p>
        </w:tc>
      </w:tr>
      <w:tr w:rsidR="00272BC6" w:rsidRPr="00272BC6" w14:paraId="65890B9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6D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C30A" w14:textId="5B2A9C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6,531,000.00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47DA" w14:textId="42714F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67,512,250.00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3B47" w14:textId="3837DC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EC5" w14:textId="1660A9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753A" w14:textId="7C243D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102,435,750.00 </w:t>
            </w:r>
          </w:p>
        </w:tc>
      </w:tr>
      <w:tr w:rsidR="00272BC6" w:rsidRPr="00272BC6" w14:paraId="121C5AD4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3BD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4440" w14:textId="5150E1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13,463,154.00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3E58" w14:textId="395799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6971" w14:textId="144D83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0C17" w14:textId="071DEF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8161" w14:textId="06E8FD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50,905,654.00 </w:t>
            </w:r>
          </w:p>
        </w:tc>
      </w:tr>
      <w:tr w:rsidR="00272BC6" w:rsidRPr="00272BC6" w14:paraId="78E6A08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42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4B8B" w14:textId="7D96BD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6,645,360.00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F461" w14:textId="2D5CDF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1,032,500.00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01C1" w14:textId="1113EE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451E" w14:textId="28E19B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816A" w14:textId="20DCE4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7,677,860.00 </w:t>
            </w:r>
          </w:p>
        </w:tc>
      </w:tr>
      <w:tr w:rsidR="00272BC6" w:rsidRPr="00272BC6" w14:paraId="50CB939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B0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5E69" w14:textId="70F97A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958C" w14:textId="5B3273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414,551,435.00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E691" w14:textId="3437D8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16D4" w14:textId="1EB31C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87CD" w14:textId="3ED696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419,290,435.00 </w:t>
            </w:r>
          </w:p>
        </w:tc>
      </w:tr>
      <w:tr w:rsidR="00272BC6" w:rsidRPr="00272BC6" w14:paraId="2A39F4F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28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5AE7" w14:textId="7ABF39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4,110,000.00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13CE" w14:textId="3A9A0C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8F0A" w14:textId="5B9B2A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5E3B" w14:textId="27150F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0FA" w14:textId="4D6033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60,025,000.00 </w:t>
            </w:r>
          </w:p>
        </w:tc>
      </w:tr>
      <w:tr w:rsidR="00272BC6" w:rsidRPr="00272BC6" w14:paraId="7E4550B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82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8EAD" w14:textId="7B25A7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8,998,070.00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61A2" w14:textId="751687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345,309,803.85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5513" w14:textId="7DAD1B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8FD8" w14:textId="3737FB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386C" w14:textId="4F9D80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354,307,873.85 </w:t>
            </w:r>
          </w:p>
        </w:tc>
      </w:tr>
      <w:tr w:rsidR="00272BC6" w:rsidRPr="00272BC6" w14:paraId="47BCBFB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43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9FA1" w14:textId="0F9D15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4,307,000.00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ACC5" w14:textId="24BE75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CDC4" w14:textId="09720D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CDFD" w14:textId="631068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516E" w14:textId="5A0CB9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25,029,500.00 </w:t>
            </w:r>
          </w:p>
        </w:tc>
      </w:tr>
      <w:tr w:rsidR="00272BC6" w:rsidRPr="00272BC6" w14:paraId="3286B96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29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E351" w14:textId="6F5751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594A" w14:textId="1DD00F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260,000,000.00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54F0" w14:textId="728F6F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21A0" w14:textId="43BC2E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D7EE" w14:textId="1F33D9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266,782,540.00 </w:t>
            </w:r>
          </w:p>
        </w:tc>
      </w:tr>
      <w:tr w:rsidR="00272BC6" w:rsidRPr="00272BC6" w14:paraId="1593EA56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71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6B49" w14:textId="3B42AD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2,649,000.00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86BD" w14:textId="178FCA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11,816,400.00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FBD7" w14:textId="573E41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58A0" w14:textId="4CC146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ACB7" w14:textId="571922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20,965,400.00 </w:t>
            </w:r>
          </w:p>
        </w:tc>
      </w:tr>
      <w:tr w:rsidR="00272BC6" w:rsidRPr="00272BC6" w14:paraId="178CA9B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90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6ABD" w14:textId="3601B5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15,780,664.30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CD60" w14:textId="0B152D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165,000,000.00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80F7" w14:textId="1F7334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5A33" w14:textId="1C4B4B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3889" w14:textId="31D746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206,265,664.30 </w:t>
            </w:r>
          </w:p>
        </w:tc>
      </w:tr>
      <w:tr w:rsidR="00272BC6" w:rsidRPr="00272BC6" w14:paraId="56C7578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02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C389" w14:textId="55310D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14,853,625.30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50A9" w14:textId="0946E7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40D5" w14:textId="45FC3D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F243" w14:textId="6DEE7B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C7BD" w14:textId="222AA6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73,703,625.30 </w:t>
            </w:r>
          </w:p>
        </w:tc>
      </w:tr>
      <w:tr w:rsidR="00272BC6" w:rsidRPr="00272BC6" w14:paraId="16545CF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D2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410F" w14:textId="00B001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CA84" w14:textId="5388F2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18,000,000.00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23B6" w14:textId="637459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DD54" w14:textId="2F8C88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9BAE" w14:textId="2E440D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28,103,660.00 </w:t>
            </w:r>
          </w:p>
        </w:tc>
      </w:tr>
      <w:tr w:rsidR="00272BC6" w:rsidRPr="00272BC6" w14:paraId="76EC2705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77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A1D3" w14:textId="4BBE8A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6,545,850.00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ECA7" w14:textId="651AAF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32,957,000.00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83B4" w14:textId="4B9C6D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83B5" w14:textId="5EA379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7F22" w14:textId="28DB71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108,622,850.00 </w:t>
            </w:r>
          </w:p>
        </w:tc>
      </w:tr>
      <w:tr w:rsidR="00272BC6" w:rsidRPr="00272BC6" w14:paraId="7365D02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A1EB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DEAF45" w14:textId="572E9B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21,672,861.58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F6C793" w14:textId="78C755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662,655,203.57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53469E" w14:textId="694CE8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C8EAAD" w14:textId="2EEFAC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DFA911" w14:textId="00892E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708,984,175.74 </w:t>
            </w:r>
          </w:p>
        </w:tc>
      </w:tr>
      <w:tr w:rsidR="00272BC6" w:rsidRPr="00272BC6" w14:paraId="648FEF6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0813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99718B" w14:textId="1DC44C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4,661,110.50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5D08B" w14:textId="4951BF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205,619,107.85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E1F51" w14:textId="6485CA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43074" w14:textId="51EB05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3BDAB" w14:textId="5FDF91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213,776,896.35 </w:t>
            </w:r>
          </w:p>
        </w:tc>
      </w:tr>
      <w:tr w:rsidR="00272BC6" w:rsidRPr="00272BC6" w14:paraId="5212C2F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62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20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0733" w14:textId="1BC416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190,652.25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0D91" w14:textId="553B5B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2593" w14:textId="6CB1C4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778E" w14:textId="4E4FF1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65DF" w14:textId="1D5AF5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190,652.25 </w:t>
            </w:r>
          </w:p>
        </w:tc>
      </w:tr>
      <w:tr w:rsidR="00272BC6" w:rsidRPr="00272BC6" w14:paraId="526CA92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EB5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AB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9F2E" w14:textId="375B92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8034" w14:textId="488165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705,230.00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1239" w14:textId="4156B6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EB8E" w14:textId="57B8A9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47B5" w14:textId="6EC2CC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848,543.20 </w:t>
            </w:r>
          </w:p>
        </w:tc>
      </w:tr>
      <w:tr w:rsidR="00272BC6" w:rsidRPr="00272BC6" w14:paraId="765A1E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2BC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BC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285B" w14:textId="4A281A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0DBD" w14:textId="544DAA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12,502,250.00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EDF7" w14:textId="553ADB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028E" w14:textId="316704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FC06" w14:textId="3D2F0A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12,645,563.20 </w:t>
            </w:r>
          </w:p>
        </w:tc>
      </w:tr>
      <w:tr w:rsidR="00272BC6" w:rsidRPr="00272BC6" w14:paraId="7BF0659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E3C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00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EF5C" w14:textId="67E2BE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6841" w14:textId="08DE8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231" w14:textId="0DF6AD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84ED" w14:textId="79A867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5B61" w14:textId="34ABAB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7,963,313.20 </w:t>
            </w:r>
          </w:p>
        </w:tc>
      </w:tr>
      <w:tr w:rsidR="00272BC6" w:rsidRPr="00272BC6" w14:paraId="6BF23AE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530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CE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A3FF" w14:textId="209D9A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684B" w14:textId="00794C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6,593,400.00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EC5A" w14:textId="4C7179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E9C7" w14:textId="7F103E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29CB" w14:textId="2C6439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6,736,713.20 </w:t>
            </w:r>
          </w:p>
        </w:tc>
      </w:tr>
      <w:tr w:rsidR="00272BC6" w:rsidRPr="00272BC6" w14:paraId="6D3BF3B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B31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E6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8CBC" w14:textId="7E57A8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D3C1" w14:textId="105B5E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6,042,257.50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4337" w14:textId="0C2428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8659" w14:textId="0C51D3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EE5B" w14:textId="3AA29F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6,185,570.70 </w:t>
            </w:r>
          </w:p>
        </w:tc>
      </w:tr>
      <w:tr w:rsidR="00272BC6" w:rsidRPr="00272BC6" w14:paraId="0C05873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1D1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9E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FC31" w14:textId="6B3663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D16D" w14:textId="5703FB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14,088,050.00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EC2F" w14:textId="0736BD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99A5" w14:textId="7C2EC5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2F3A" w14:textId="2E95B7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14,465,190.00 </w:t>
            </w:r>
          </w:p>
        </w:tc>
      </w:tr>
      <w:tr w:rsidR="00272BC6" w:rsidRPr="00272BC6" w14:paraId="01E26F0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0CC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38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6BB7" w14:textId="407EA3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101D" w14:textId="11E023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11,817,160.00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110F" w14:textId="747ABF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5532" w14:textId="679180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5CF9" w14:textId="3A6556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13,585,711.20 </w:t>
            </w:r>
          </w:p>
        </w:tc>
      </w:tr>
      <w:tr w:rsidR="00272BC6" w:rsidRPr="00272BC6" w14:paraId="2407F4F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A77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F9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4140" w14:textId="556683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EBFF" w14:textId="54A2E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318,288.00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833D" w14:textId="1D7C95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92E8" w14:textId="6767B4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764B" w14:textId="7C89AD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465,601.20 </w:t>
            </w:r>
          </w:p>
        </w:tc>
      </w:tr>
      <w:tr w:rsidR="00272BC6" w:rsidRPr="00272BC6" w14:paraId="65912E2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5EE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65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94A0" w14:textId="011A58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9111" w14:textId="6CEC23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3C4D" w14:textId="146F6F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2B04" w14:textId="3B32D0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1883" w14:textId="5ED8D3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1,811,313.20 </w:t>
            </w:r>
          </w:p>
        </w:tc>
      </w:tr>
      <w:tr w:rsidR="00272BC6" w:rsidRPr="00272BC6" w14:paraId="5B9816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59D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2FE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3E8E" w14:textId="205D8F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A9AD" w14:textId="2CA2AD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8,733,094.84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0E64" w14:textId="03DA02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E32D" w14:textId="0D12B9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0ED0" w14:textId="7E0401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8,876,408.04 </w:t>
            </w:r>
          </w:p>
        </w:tc>
      </w:tr>
      <w:tr w:rsidR="00272BC6" w:rsidRPr="00272BC6" w14:paraId="418883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DD8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76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D01E" w14:textId="772D02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D5C8" w14:textId="03B2F7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1,959,056.00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2D0E" w14:textId="3ADAF4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2BEE" w14:textId="478F70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2BFE" w14:textId="2F4556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2,102,369.20 </w:t>
            </w:r>
          </w:p>
        </w:tc>
      </w:tr>
      <w:tr w:rsidR="00272BC6" w:rsidRPr="00272BC6" w14:paraId="08B51E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F18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6B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B25E" w14:textId="2B0861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358,283.00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8071" w14:textId="198F52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26,213,560.00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3B0" w14:textId="48E4E8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A919" w14:textId="3C2908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0CD4" w14:textId="557D9C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26,571,843.00 </w:t>
            </w:r>
          </w:p>
        </w:tc>
      </w:tr>
      <w:tr w:rsidR="00272BC6" w:rsidRPr="00272BC6" w14:paraId="541D63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677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E9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FACE" w14:textId="7B186D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634,944.45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5ADF" w14:textId="4F19CB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3,425,220.00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F308" w14:textId="6668B3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4177" w14:textId="1D19E4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379E" w14:textId="07F962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5,882,604.45 </w:t>
            </w:r>
          </w:p>
        </w:tc>
      </w:tr>
      <w:tr w:rsidR="00272BC6" w:rsidRPr="00272BC6" w14:paraId="63366BE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FA4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40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FBA8" w14:textId="19A845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4036" w14:textId="5D3F6C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2,398,750.00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2BE9" w14:textId="772D9C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70C0" w14:textId="23BAE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26D3" w14:textId="4A4F13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2,587,063.20 </w:t>
            </w:r>
          </w:p>
        </w:tc>
      </w:tr>
      <w:tr w:rsidR="00272BC6" w:rsidRPr="00272BC6" w14:paraId="2E6563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597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AB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C791" w14:textId="338B68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D926" w14:textId="059423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21,108,868.00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479F" w14:textId="7385EA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56D0" w14:textId="6380D4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17F2" w14:textId="48E7A5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21,252,181.20 </w:t>
            </w:r>
          </w:p>
        </w:tc>
      </w:tr>
      <w:tr w:rsidR="00272BC6" w:rsidRPr="00272BC6" w14:paraId="0CB310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7A6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8B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52FC" w14:textId="7A35EE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097C1" w14:textId="60C984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9,309,819.00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8F45" w14:textId="7F516C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20D5" w14:textId="1FABE6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7241" w14:textId="784F2F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9,686,959.00 </w:t>
            </w:r>
          </w:p>
        </w:tc>
      </w:tr>
      <w:tr w:rsidR="00272BC6" w:rsidRPr="00272BC6" w14:paraId="23D4C7F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D56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78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DBA0" w14:textId="0F40E1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4393" w14:textId="1F7DA6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12,158,374.00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0597" w14:textId="4D5A64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4B9F" w14:textId="19629A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E8ED" w14:textId="143AF7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12,301,687.20 </w:t>
            </w:r>
          </w:p>
        </w:tc>
      </w:tr>
      <w:tr w:rsidR="00272BC6" w:rsidRPr="00272BC6" w14:paraId="57F9289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7BF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D0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3559" w14:textId="5BA527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4928" w14:textId="0016B7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9,767,260.00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7BB7" w14:textId="20A209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02CF" w14:textId="1AC5C1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852E" w14:textId="2B0CC1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9,910,573.20 </w:t>
            </w:r>
          </w:p>
        </w:tc>
      </w:tr>
      <w:tr w:rsidR="00272BC6" w:rsidRPr="00272BC6" w14:paraId="761501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67A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E2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BEF8" w14:textId="2AA5E8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942" w14:textId="2D0DD6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10,290,147.50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08AA" w14:textId="5811D6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1382" w14:textId="43574F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5372" w14:textId="2D3744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10,433,460.70 </w:t>
            </w:r>
          </w:p>
        </w:tc>
      </w:tr>
      <w:tr w:rsidR="00272BC6" w:rsidRPr="00272BC6" w14:paraId="4CFBAB9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A30F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D9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BAA5" w14:textId="184595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42B4" w14:textId="52D399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2,706,360.00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C97C" w14:textId="46495A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6893" w14:textId="10C346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90AB" w14:textId="0CD509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2,849,673.20 </w:t>
            </w:r>
          </w:p>
        </w:tc>
      </w:tr>
      <w:tr w:rsidR="00272BC6" w:rsidRPr="00272BC6" w14:paraId="405ACC0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388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37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7B49" w14:textId="22FD60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7218" w14:textId="7D74A3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7,033,088.00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BCA4" w14:textId="78D3BE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A2B8" w14:textId="653693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6BA" w14:textId="534CD6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7,176,401.20 </w:t>
            </w:r>
          </w:p>
        </w:tc>
      </w:tr>
      <w:tr w:rsidR="00272BC6" w:rsidRPr="00272BC6" w14:paraId="56F7C7B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90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7F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B3B9" w14:textId="157BEF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A3DD" w14:textId="3B6810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1F3E" w14:textId="2144F2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4BB6" w14:textId="513383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7C2E" w14:textId="08BD92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1,985,813.20 </w:t>
            </w:r>
          </w:p>
        </w:tc>
      </w:tr>
      <w:tr w:rsidR="00272BC6" w:rsidRPr="00272BC6" w14:paraId="5B69512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519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F6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0BA" w14:textId="17BC20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4EA9" w14:textId="5B7BD0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27,118,375.01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80FD" w14:textId="37B3F6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2A59" w14:textId="433AF9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7A44" w14:textId="049BF9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27,261,688.21 </w:t>
            </w:r>
          </w:p>
        </w:tc>
      </w:tr>
      <w:tr w:rsidR="00272BC6" w:rsidRPr="00272BC6" w14:paraId="5AF5D4DE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B25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C6F5A2" w14:textId="64ED75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1,670,449.62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CA0392" w14:textId="006428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45,511,819.14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7C8F7" w14:textId="6937C6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565CE" w14:textId="112E72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F3A8B" w14:textId="0C416F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47,182,268.76 </w:t>
            </w:r>
          </w:p>
        </w:tc>
      </w:tr>
      <w:tr w:rsidR="00272BC6" w:rsidRPr="00272BC6" w14:paraId="4AB2F23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1D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F0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21E3" w14:textId="2819EF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0172" w14:textId="0E96BC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2F2F" w14:textId="6CD438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DD77" w14:textId="2217A4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EB54" w14:textId="6053F5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</w:tr>
      <w:tr w:rsidR="00272BC6" w:rsidRPr="00272BC6" w14:paraId="23D45CA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4B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E1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0EAA" w14:textId="0C8F19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6793" w14:textId="2F3C81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47BE" w14:textId="5B6E88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3FF5" w14:textId="229E57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5E1D" w14:textId="6ADACE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</w:tr>
      <w:tr w:rsidR="00272BC6" w:rsidRPr="00272BC6" w14:paraId="7F8AC8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305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64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D109" w14:textId="3B2729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091C" w14:textId="0A8D26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2B8D" w14:textId="2C30ED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7DED" w14:textId="48131A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9C10" w14:textId="782A6B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471,577.14 </w:t>
            </w:r>
          </w:p>
        </w:tc>
      </w:tr>
      <w:tr w:rsidR="00272BC6" w:rsidRPr="00272BC6" w14:paraId="319A54D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8BB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56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93B2" w14:textId="0AC4F1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EC74" w14:textId="4B3F80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0159" w14:textId="7C2677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79B1" w14:textId="2D644F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4449" w14:textId="179B0E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</w:tr>
      <w:tr w:rsidR="00272BC6" w:rsidRPr="00272BC6" w14:paraId="53C490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E8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87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0310" w14:textId="4E5891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6963" w14:textId="0B7251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B602" w14:textId="5FCD11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49AA" w14:textId="687C66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B78E" w14:textId="0AB5B4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2,751,604.85 </w:t>
            </w:r>
          </w:p>
        </w:tc>
      </w:tr>
      <w:tr w:rsidR="00272BC6" w:rsidRPr="00272BC6" w14:paraId="2ACB919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028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D5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B0E2" w14:textId="792443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94E8" w14:textId="0C27B1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3,894,099.29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7B11" w14:textId="6F1C79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45DE" w14:textId="6A4F51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37E2" w14:textId="6E86D5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3,895,230.71 </w:t>
            </w:r>
          </w:p>
        </w:tc>
      </w:tr>
      <w:tr w:rsidR="00272BC6" w:rsidRPr="00272BC6" w14:paraId="30B59BD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D72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E7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9813" w14:textId="009ED2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FD3F" w14:textId="193137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990,052.00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4CC1" w14:textId="0253E8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4D1F" w14:textId="65C70E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8344" w14:textId="0EBE46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991,183.42 </w:t>
            </w:r>
          </w:p>
        </w:tc>
      </w:tr>
      <w:tr w:rsidR="00272BC6" w:rsidRPr="00272BC6" w14:paraId="6FE11F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8AC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92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2BE7" w14:textId="727C15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2E22" w14:textId="454657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B9CC" w14:textId="21EF3C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B33C" w14:textId="3EBF02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BC78" w14:textId="64E506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</w:tr>
      <w:tr w:rsidR="00272BC6" w:rsidRPr="00272BC6" w14:paraId="4AE359A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013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10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E661" w14:textId="165B76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0276" w14:textId="0BA4A6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3FEF" w14:textId="356599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9036" w14:textId="4C0BC0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4009" w14:textId="3EFFA6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</w:tr>
      <w:tr w:rsidR="00272BC6" w:rsidRPr="00272BC6" w14:paraId="7D9375B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276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F70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D635" w14:textId="2D41BD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831A" w14:textId="417344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39BC" w14:textId="1ABF6C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D176" w14:textId="1BD936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98ED" w14:textId="113D1B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</w:tr>
      <w:tr w:rsidR="00272BC6" w:rsidRPr="00272BC6" w14:paraId="32C4934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7E1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99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F219" w14:textId="3A7761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86F8" w14:textId="0DE3DB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A26C" w14:textId="5CBCC1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EA44" w14:textId="552D6E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152A" w14:textId="40AD8D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</w:tr>
      <w:tr w:rsidR="00272BC6" w:rsidRPr="00272BC6" w14:paraId="4298D73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396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19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389D" w14:textId="34C411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B3EE" w14:textId="362768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1,240,155.00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8396" w14:textId="5A48EB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C7F7" w14:textId="3AEE0F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2A97" w14:textId="61247C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1,241,286.42 </w:t>
            </w:r>
          </w:p>
        </w:tc>
      </w:tr>
      <w:tr w:rsidR="00272BC6" w:rsidRPr="00272BC6" w14:paraId="52B711B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55C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6B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4CBF" w14:textId="0C2311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1AD8" w14:textId="30892E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BA0B" w14:textId="4C1CE5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0F37" w14:textId="737188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74F2" w14:textId="51748D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652,454.28 </w:t>
            </w:r>
          </w:p>
        </w:tc>
      </w:tr>
      <w:tr w:rsidR="00272BC6" w:rsidRPr="00272BC6" w14:paraId="3B8CDC3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CD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86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7A66" w14:textId="527784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60BC" w14:textId="7BD432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2,154,668.00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09A6" w14:textId="2A009A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2129" w14:textId="070A22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057A" w14:textId="0E9120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2,534,447.98 </w:t>
            </w:r>
          </w:p>
        </w:tc>
      </w:tr>
      <w:tr w:rsidR="00272BC6" w:rsidRPr="00272BC6" w14:paraId="30109B1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9A5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2A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255C" w14:textId="42EC27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E342" w14:textId="748046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3498" w14:textId="73E01C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67FC" w14:textId="00DF73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144D" w14:textId="78F249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</w:tr>
      <w:tr w:rsidR="00272BC6" w:rsidRPr="00272BC6" w14:paraId="0FBB349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9FE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8D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C032" w14:textId="272C3C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FAC9" w14:textId="2A106D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A278" w14:textId="6D18E4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D14E" w14:textId="5798E0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4C8A" w14:textId="66C982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</w:tr>
      <w:tr w:rsidR="00272BC6" w:rsidRPr="00272BC6" w14:paraId="0236C32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DFC6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74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047B" w14:textId="5C06DB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9FE6" w14:textId="41BE69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23C1" w14:textId="33FB36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7DDB" w14:textId="76D000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ECC2" w14:textId="55A647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</w:tr>
      <w:tr w:rsidR="00272BC6" w:rsidRPr="00272BC6" w14:paraId="4AE3BFE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90E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96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0CC4" w14:textId="2765FA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9A35" w14:textId="5266FD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400,000.04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EFBE" w14:textId="6571B1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3C0A" w14:textId="2021F1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3AC1" w14:textId="4499DA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402,542.07 </w:t>
            </w:r>
          </w:p>
        </w:tc>
      </w:tr>
      <w:tr w:rsidR="00272BC6" w:rsidRPr="00272BC6" w14:paraId="3C13DAC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5C6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78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8248" w14:textId="3703C1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BB86" w14:textId="592C59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0CCC" w14:textId="08DF49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D788" w14:textId="15FFEA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6C20" w14:textId="085524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</w:tr>
      <w:tr w:rsidR="00272BC6" w:rsidRPr="00272BC6" w14:paraId="3E217E2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D8F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9E0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B8E1" w14:textId="4D6632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6202" w14:textId="6D1D73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877,798.50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D17F" w14:textId="1AB1A0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EF32" w14:textId="265213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26E2" w14:textId="61027A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880,061.34 </w:t>
            </w:r>
          </w:p>
        </w:tc>
      </w:tr>
      <w:tr w:rsidR="00272BC6" w:rsidRPr="00272BC6" w14:paraId="00BBD1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14D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9F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8C39" w14:textId="5898CE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2113" w14:textId="4A53C9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C2D9" w14:textId="250C26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DCDF" w14:textId="15BF9D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08EA" w14:textId="38F686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</w:tr>
      <w:tr w:rsidR="00272BC6" w:rsidRPr="00272BC6" w14:paraId="628BE2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62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83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8A76" w14:textId="3FDDB6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C5E9" w14:textId="7C37E9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247B" w14:textId="16D749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5C4D" w14:textId="52BA35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B2BD" w14:textId="44C8CD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</w:tr>
      <w:tr w:rsidR="00272BC6" w:rsidRPr="00272BC6" w14:paraId="1FCC3C2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C9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3B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3C57" w14:textId="63EB5B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B0F2" w14:textId="7C8F4C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837,000.00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F781" w14:textId="338EF4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BD32" w14:textId="211532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FCE1" w14:textId="51AA4C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837,377.14 </w:t>
            </w:r>
          </w:p>
        </w:tc>
      </w:tr>
      <w:tr w:rsidR="00272BC6" w:rsidRPr="00272BC6" w14:paraId="11554F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C53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AD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AC42" w14:textId="7A9263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4F06" w14:textId="7B719B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789,210.00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5426" w14:textId="53A026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0DC5" w14:textId="6DDB0B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21D8" w14:textId="14B418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800,147.06 </w:t>
            </w:r>
          </w:p>
        </w:tc>
      </w:tr>
      <w:tr w:rsidR="00272BC6" w:rsidRPr="00272BC6" w14:paraId="2844A3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A9C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6F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1419" w14:textId="72C1FC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DB80" w14:textId="6B060D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7DDD" w14:textId="15F310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6240" w14:textId="6F2442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F85C" w14:textId="53FA25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</w:tr>
      <w:tr w:rsidR="00272BC6" w:rsidRPr="00272BC6" w14:paraId="2B9A3DD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BD4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185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4B61" w14:textId="7B1435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866E" w14:textId="36424E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666,276.48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FAA9" w14:textId="062181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F0EC" w14:textId="6C5B11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6B2C" w14:textId="7F8A55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666,653.62 </w:t>
            </w:r>
          </w:p>
        </w:tc>
      </w:tr>
      <w:tr w:rsidR="00272BC6" w:rsidRPr="00272BC6" w14:paraId="2AC2ADD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441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233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646B" w14:textId="6B4C42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57AF" w14:textId="762411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1,393,707.80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7CF7" w14:textId="407321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BF89" w14:textId="20B1DF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C044" w14:textId="346364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1,394,084.94 </w:t>
            </w:r>
          </w:p>
        </w:tc>
      </w:tr>
      <w:tr w:rsidR="00272BC6" w:rsidRPr="00272BC6" w14:paraId="79C8A15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419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C6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CAA7" w14:textId="0599AC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60DB" w14:textId="49A9D5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7286" w14:textId="23A7D9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44A9" w14:textId="5C628C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FA43" w14:textId="1F5258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272BC6" w:rsidRPr="00272BC6" w14:paraId="52189B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B8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8F6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A221" w14:textId="5ACB31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ABAC" w14:textId="3DDBD9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480,369.48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BD99" w14:textId="285A2F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87CC" w14:textId="76FFE0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888F" w14:textId="56DE0D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481,123.76 </w:t>
            </w:r>
          </w:p>
        </w:tc>
      </w:tr>
      <w:tr w:rsidR="00272BC6" w:rsidRPr="00272BC6" w14:paraId="4523650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48C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05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E3CD" w14:textId="6D9E6F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F2FB" w14:textId="730040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3,395,324.31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7A45" w14:textId="4032C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A945" w14:textId="7D4623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8DBD" w14:textId="0FC2E5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3,396,078.59 </w:t>
            </w:r>
          </w:p>
        </w:tc>
      </w:tr>
      <w:tr w:rsidR="00272BC6" w:rsidRPr="00272BC6" w14:paraId="4D431A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871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43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55F5" w14:textId="0549B7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7FDB" w14:textId="7FCBA7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C51C" w14:textId="1B034E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80C4" w14:textId="05223F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9E84" w14:textId="7E9814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</w:tr>
      <w:tr w:rsidR="00272BC6" w:rsidRPr="00272BC6" w14:paraId="10B476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A88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89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FD0D" w14:textId="701915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D350" w14:textId="750ED2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53A4" w14:textId="3DC3F9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A188" w14:textId="2CBC85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A7E9" w14:textId="2746EF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</w:tr>
      <w:tr w:rsidR="00272BC6" w:rsidRPr="00272BC6" w14:paraId="3FB1199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8D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C0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ACD8" w14:textId="158A00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9178" w14:textId="2B9DF6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1,815,210.00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6881" w14:textId="44C0F1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1ABE" w14:textId="081151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CADA" w14:textId="2C580F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2,192,350.00 </w:t>
            </w:r>
          </w:p>
        </w:tc>
      </w:tr>
      <w:tr w:rsidR="00272BC6" w:rsidRPr="00272BC6" w14:paraId="7B6E037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05E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8BE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136D" w14:textId="0E0DA0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871,040.06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0A87" w14:textId="17E117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7,928,063.93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8CED" w14:textId="264A8D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1632" w14:textId="7433AB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5B8E" w14:textId="3CEA50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8,799,103.99 </w:t>
            </w:r>
          </w:p>
        </w:tc>
      </w:tr>
      <w:tr w:rsidR="00272BC6" w:rsidRPr="00272BC6" w14:paraId="4732BF2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7E4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63E898" w14:textId="2D3850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5,345,791.47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F0828" w14:textId="2EF782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97,541,086.36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8A074" w14:textId="3190F9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04546" w14:textId="49B2EC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E850A" w14:textId="566222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104,004,189.47 </w:t>
            </w:r>
          </w:p>
        </w:tc>
      </w:tr>
      <w:tr w:rsidR="00272BC6" w:rsidRPr="00272BC6" w14:paraId="1D67F5D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C11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E4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8FEF" w14:textId="22872D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379,682.03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67D4" w14:textId="068C2E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6,887,410.00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015A" w14:textId="63F904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A6E9" w14:textId="7A930D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063C" w14:textId="3AF3E7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7,267,092.03 </w:t>
            </w:r>
          </w:p>
        </w:tc>
      </w:tr>
      <w:tr w:rsidR="00272BC6" w:rsidRPr="00272BC6" w14:paraId="67C84E4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FFB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3E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BD25" w14:textId="005763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D688" w14:textId="0DA2F3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120C" w14:textId="1AD5F8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3837" w14:textId="7A6C9A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785C" w14:textId="36672B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</w:tr>
      <w:tr w:rsidR="00272BC6" w:rsidRPr="00272BC6" w14:paraId="086F923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06A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9B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4F6A" w14:textId="462D50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92,613.60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551F" w14:textId="5A39B8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7,473,058.53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6845" w14:textId="6EAA45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E905" w14:textId="490FDC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495E" w14:textId="11D8E4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7,565,672.13 </w:t>
            </w:r>
          </w:p>
        </w:tc>
      </w:tr>
      <w:tr w:rsidR="00272BC6" w:rsidRPr="00272BC6" w14:paraId="050468F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8ED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61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C583" w14:textId="35194D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9066F" w14:textId="0D38F3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2,044,875.00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B3FB" w14:textId="3C71CF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6DFD" w14:textId="17F17D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5987" w14:textId="2A191F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2,422,015.00 </w:t>
            </w:r>
          </w:p>
        </w:tc>
      </w:tr>
      <w:tr w:rsidR="00272BC6" w:rsidRPr="00272BC6" w14:paraId="585F45F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56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92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1A95" w14:textId="4E9A45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E95C8" w14:textId="1BF297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5,629,101.51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D05B" w14:textId="198432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D77" w14:textId="0F82A3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7FDE" w14:textId="759093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6,006,618.65 </w:t>
            </w:r>
          </w:p>
        </w:tc>
      </w:tr>
      <w:tr w:rsidR="00272BC6" w:rsidRPr="00272BC6" w14:paraId="7E6F47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CA2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12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F736" w14:textId="592323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8AE3" w14:textId="403DCA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2,748,346.00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101D" w14:textId="33787F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06B9" w14:textId="3BBD45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A70B" w14:textId="7D971A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3,125,486.00 </w:t>
            </w:r>
          </w:p>
        </w:tc>
      </w:tr>
      <w:tr w:rsidR="00272BC6" w:rsidRPr="00272BC6" w14:paraId="00030D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673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AA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9031" w14:textId="064C23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A082" w14:textId="4ADD35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8D0B" w14:textId="7F6C25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B577" w14:textId="23FB4D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613D" w14:textId="1FE299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642,195.00 </w:t>
            </w:r>
          </w:p>
        </w:tc>
      </w:tr>
      <w:tr w:rsidR="00272BC6" w:rsidRPr="00272BC6" w14:paraId="162CB08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5EE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8A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B97B" w14:textId="2C35C5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89CF" w14:textId="03E155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1,780,800.00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C7C8" w14:textId="229D3A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079F" w14:textId="5F6B5D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0893" w14:textId="434071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2,157,940.00 </w:t>
            </w:r>
          </w:p>
        </w:tc>
      </w:tr>
      <w:tr w:rsidR="00272BC6" w:rsidRPr="00272BC6" w14:paraId="3EA18A4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CA2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4C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3356" w14:textId="6AB404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1ACC" w14:textId="30DF82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4,948,530.00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D28F" w14:textId="18D060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989B" w14:textId="210BC6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586F" w14:textId="5D73B3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5,325,670.00 </w:t>
            </w:r>
          </w:p>
        </w:tc>
      </w:tr>
      <w:tr w:rsidR="00272BC6" w:rsidRPr="00272BC6" w14:paraId="173F113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23A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C9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BC3D" w14:textId="3B6BCF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38D7" w14:textId="033A51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7149" w14:textId="3DB7BB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EDEA" w14:textId="472EED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EF2B" w14:textId="09C83E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</w:tr>
      <w:tr w:rsidR="00272BC6" w:rsidRPr="00272BC6" w14:paraId="6128C1F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39D6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5E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9003" w14:textId="5460BC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388,618.75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BECD" w14:textId="24A26F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138,821.00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6DC0" w14:textId="262B6D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5030" w14:textId="684FCD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41CA" w14:textId="567252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527,439.75 </w:t>
            </w:r>
          </w:p>
        </w:tc>
      </w:tr>
      <w:tr w:rsidR="00272BC6" w:rsidRPr="00272BC6" w14:paraId="2307E08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6FE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44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907A" w14:textId="4BCA77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389,680.20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6F63" w14:textId="648C3C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12,000,731.60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055A" w14:textId="38D1C9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261D" w14:textId="35923F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E6E6" w14:textId="74F421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12,494,611.80 </w:t>
            </w:r>
          </w:p>
        </w:tc>
      </w:tr>
      <w:tr w:rsidR="00272BC6" w:rsidRPr="00272BC6" w14:paraId="6CC4285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D2C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30D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300C" w14:textId="781727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1,070,972.02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2E53" w14:textId="28CBAB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36,248,440.00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0AA2" w14:textId="00C888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B295" w14:textId="5A0713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CDC6" w14:textId="753AC4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37,319,412.02 </w:t>
            </w:r>
          </w:p>
        </w:tc>
      </w:tr>
      <w:tr w:rsidR="00272BC6" w:rsidRPr="00272BC6" w14:paraId="119D30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CF5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57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B1A2" w14:textId="278837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84C5" w14:textId="77E5F1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4924" w14:textId="022CB8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C02C" w14:textId="7664A0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2683" w14:textId="599898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272BC6" w:rsidRPr="00272BC6" w14:paraId="5BDA212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7FD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BE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D83F" w14:textId="14573C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927A" w14:textId="790FF5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2,515,376.00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E87" w14:textId="6C3D79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6154" w14:textId="350C39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A21D" w14:textId="254E24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2,892,516.00 </w:t>
            </w:r>
          </w:p>
        </w:tc>
      </w:tr>
      <w:tr w:rsidR="00272BC6" w:rsidRPr="00272BC6" w14:paraId="768232C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5CC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B7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41A4" w14:textId="5E96F5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1249" w14:textId="27183C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10,701,840.72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4EF7" w14:textId="63E8D8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2867" w14:textId="12CB2A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ECFA" w14:textId="4EAF54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11,907,371.64 </w:t>
            </w:r>
          </w:p>
        </w:tc>
      </w:tr>
      <w:tr w:rsidR="00272BC6" w:rsidRPr="00272BC6" w14:paraId="42743CF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39F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CC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DA0E" w14:textId="230A21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2441" w14:textId="720925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8AEE" w14:textId="345EBF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CAF0" w14:textId="495CBA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4A68" w14:textId="19381B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</w:tr>
      <w:tr w:rsidR="00272BC6" w:rsidRPr="00272BC6" w14:paraId="5657C82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B62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DB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93BF" w14:textId="382B7B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C709" w14:textId="15E9E1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9574" w14:textId="221305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31AC" w14:textId="468DC9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659B" w14:textId="058AD1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</w:tr>
      <w:tr w:rsidR="00272BC6" w:rsidRPr="00272BC6" w14:paraId="3911481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0F4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F1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4D74" w14:textId="6B50B4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3F05" w14:textId="7C8E7A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8187" w14:textId="44FFF5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E24C" w14:textId="4192BF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57AC" w14:textId="3DCCAB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692,340.00 </w:t>
            </w:r>
          </w:p>
        </w:tc>
      </w:tr>
      <w:tr w:rsidR="00272BC6" w:rsidRPr="00272BC6" w14:paraId="2D2A1D8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65A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7B974" w14:textId="175A06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9,995,509.99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F27EB1" w14:textId="2C688A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313,983,190.22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32756" w14:textId="4873C7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902AE" w14:textId="201C57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28B164" w14:textId="4EAAB3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344,020,821.16 </w:t>
            </w:r>
          </w:p>
        </w:tc>
      </w:tr>
      <w:tr w:rsidR="00272BC6" w:rsidRPr="00272BC6" w14:paraId="2EF2D7A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C63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E2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043C" w14:textId="2CCC52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3922" w14:textId="030B06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7DD5" w14:textId="412B18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1BDC" w14:textId="021999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ABB4" w14:textId="1820FB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</w:tr>
      <w:tr w:rsidR="00272BC6" w:rsidRPr="00272BC6" w14:paraId="7230830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721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75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D6C5" w14:textId="355A72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233,826.80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25DF" w14:textId="6275F0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12,454,395.00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C1D6" w14:textId="37C39E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2940" w14:textId="449351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557E" w14:textId="4A8C45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12,688,221.80 </w:t>
            </w:r>
          </w:p>
        </w:tc>
      </w:tr>
      <w:tr w:rsidR="00272BC6" w:rsidRPr="00272BC6" w14:paraId="3FAD624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0D0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60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FD66" w14:textId="5682A7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DEF0" w14:textId="4C7A78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57,596,719.00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6F76" w14:textId="03A29C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C646" w14:textId="3FC271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6569" w14:textId="3C8AAD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57,973,859.00 </w:t>
            </w:r>
          </w:p>
        </w:tc>
      </w:tr>
      <w:tr w:rsidR="00272BC6" w:rsidRPr="00272BC6" w14:paraId="6618D16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54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C4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F25E" w14:textId="099D8A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F0C4" w14:textId="2F60E9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6945" w14:textId="7664C4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3C48" w14:textId="755CAF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632F" w14:textId="2623D0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</w:tr>
      <w:tr w:rsidR="00272BC6" w:rsidRPr="00272BC6" w14:paraId="14C9B6C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703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10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7AC9" w14:textId="42E6C3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3714" w14:textId="011C7E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11,594,316.00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CDBC" w14:textId="6879C2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8C79" w14:textId="6082AA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DC71" w14:textId="417207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11,594,693.14 </w:t>
            </w:r>
          </w:p>
        </w:tc>
      </w:tr>
      <w:tr w:rsidR="00272BC6" w:rsidRPr="00272BC6" w14:paraId="11DC58C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53D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3F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B91F" w14:textId="43488E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C110" w14:textId="217EC9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2,934,414.49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64BF" w14:textId="5AA55D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B65F" w14:textId="3ACAB1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4330" w14:textId="494952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4,543,043.21 </w:t>
            </w:r>
          </w:p>
        </w:tc>
      </w:tr>
      <w:tr w:rsidR="00272BC6" w:rsidRPr="00272BC6" w14:paraId="4A297A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FF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9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D53D" w14:textId="78B9ED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43CD" w14:textId="32E22B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E39E" w14:textId="7C4D6E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FD91" w14:textId="3D0D53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5D00" w14:textId="266288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</w:tr>
      <w:tr w:rsidR="00272BC6" w:rsidRPr="00272BC6" w14:paraId="70F3940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08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D7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C552" w14:textId="18F0AD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AAD1" w14:textId="444251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C71B" w14:textId="040BB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0C9B" w14:textId="348D7D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8BAF" w14:textId="224E34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</w:tr>
      <w:tr w:rsidR="00272BC6" w:rsidRPr="00272BC6" w14:paraId="4F9BE8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3FB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DD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CC22" w14:textId="721D69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FF5A" w14:textId="1A608D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3,728,603.99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1914" w14:textId="28E020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F7FF" w14:textId="6A8269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C27B" w14:textId="1622F2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4,105,743.99 </w:t>
            </w:r>
          </w:p>
        </w:tc>
      </w:tr>
      <w:tr w:rsidR="00272BC6" w:rsidRPr="00272BC6" w14:paraId="0C531D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3BE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EC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8F05" w14:textId="005001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9041" w14:textId="1A77F9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D480" w14:textId="7755A5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DF89" w14:textId="7CDE5E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449D" w14:textId="308786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</w:tr>
      <w:tr w:rsidR="00272BC6" w:rsidRPr="00272BC6" w14:paraId="7C4648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218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4C1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FB93" w14:textId="54427F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F040" w14:textId="0F65FB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836C" w14:textId="1AE6A3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743F" w14:textId="04FCCD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363B" w14:textId="1C31B5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2,843,940.00 </w:t>
            </w:r>
          </w:p>
        </w:tc>
      </w:tr>
      <w:tr w:rsidR="00272BC6" w:rsidRPr="00272BC6" w14:paraId="282BC7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2045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F4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F280" w14:textId="7A6BF9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01C7" w14:textId="6CC84D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872,915.00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EAB7" w14:textId="72641E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2387" w14:textId="644461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E2F6" w14:textId="4C6D71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1,250,055.00 </w:t>
            </w:r>
          </w:p>
        </w:tc>
      </w:tr>
      <w:tr w:rsidR="00272BC6" w:rsidRPr="00272BC6" w14:paraId="5F33DA1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EC1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AF5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1E10" w14:textId="36FEA4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03C9" w14:textId="3E3960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4,775,812.00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03CB" w14:textId="33B361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716A" w14:textId="7F03C0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D449" w14:textId="2094A2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7,188,612.00 </w:t>
            </w:r>
          </w:p>
        </w:tc>
      </w:tr>
      <w:tr w:rsidR="00272BC6" w:rsidRPr="00272BC6" w14:paraId="56B21A8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3BC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6F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533C" w14:textId="655A4D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E0BD" w14:textId="6199D1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6,624,860.00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987E" w14:textId="1C2BA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C77C" w14:textId="1BFD7C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8BE2" w14:textId="751CC8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7,218,500.00 </w:t>
            </w:r>
          </w:p>
        </w:tc>
      </w:tr>
      <w:tr w:rsidR="00272BC6" w:rsidRPr="00272BC6" w14:paraId="13A89C3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11E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D8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D975" w14:textId="4BFDCD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47AE" w14:textId="25C69E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1,226,600.00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A085" w14:textId="6F044E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0501" w14:textId="67D366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C669" w14:textId="1FF988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2,421,440.00 </w:t>
            </w:r>
          </w:p>
        </w:tc>
      </w:tr>
      <w:tr w:rsidR="00272BC6" w:rsidRPr="00272BC6" w14:paraId="0C7AC08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CA2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D4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E105" w14:textId="4256EF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2F9D" w14:textId="0F2E42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6,307,500.00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A015" w14:textId="51E49E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1DD2" w14:textId="47CF9C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D31D" w14:textId="2C1155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15,837,020.00 </w:t>
            </w:r>
          </w:p>
        </w:tc>
      </w:tr>
      <w:tr w:rsidR="00272BC6" w:rsidRPr="00272BC6" w14:paraId="0DA0915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7B4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C5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7727" w14:textId="6F4B6F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378,271.42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1792" w14:textId="1CE506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53,431,500.00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EE04" w14:textId="0D5E9B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EF37" w14:textId="57BB0E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D52A" w14:textId="03B6F0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53,809,771.42 </w:t>
            </w:r>
          </w:p>
        </w:tc>
      </w:tr>
      <w:tr w:rsidR="00272BC6" w:rsidRPr="00272BC6" w14:paraId="285384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46B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36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CA66" w14:textId="741D3C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59A9" w14:textId="4C4B28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817C" w14:textId="03724E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4AC2" w14:textId="66D672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F715" w14:textId="0A8AE0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272BC6" w:rsidRPr="00272BC6" w14:paraId="047A666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B3BD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636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4EC4" w14:textId="0CE4C5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7676" w14:textId="391FB7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9516" w14:textId="7E7AC8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4F85" w14:textId="30644C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9C0E" w14:textId="41EDAF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272BC6" w:rsidRPr="00272BC6" w14:paraId="6708DB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85D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6C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4559" w14:textId="647BCD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14F7" w14:textId="4954B3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12F6" w14:textId="0AD09A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28EE" w14:textId="0DF987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09D3" w14:textId="115336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648,570.00 </w:t>
            </w:r>
          </w:p>
        </w:tc>
      </w:tr>
      <w:tr w:rsidR="00272BC6" w:rsidRPr="00272BC6" w14:paraId="63DB02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967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4A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9161" w14:textId="5C40F4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4462" w14:textId="12253E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2,634,428.90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E06BE" w14:textId="6A6C00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8821" w14:textId="696351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4369" w14:textId="017B33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3,011,568.90 </w:t>
            </w:r>
          </w:p>
        </w:tc>
      </w:tr>
      <w:tr w:rsidR="00272BC6" w:rsidRPr="00272BC6" w14:paraId="15F6F5B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6CB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08E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E787" w14:textId="2FD150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FCE4" w14:textId="0CEE20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5,635,020.00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57F2" w14:textId="253054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C3B3" w14:textId="104676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59E8" w14:textId="29A57C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6,006,151.42 </w:t>
            </w:r>
          </w:p>
        </w:tc>
      </w:tr>
      <w:tr w:rsidR="00272BC6" w:rsidRPr="00272BC6" w14:paraId="40E365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E59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D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2A4D" w14:textId="4AFB7A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B5FF" w14:textId="53638F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D261" w14:textId="2DF4CE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8571" w14:textId="698155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0E5B" w14:textId="4911AB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</w:tr>
      <w:tr w:rsidR="00272BC6" w:rsidRPr="00272BC6" w14:paraId="00328C6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681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9D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9F29" w14:textId="0BF77E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DD3B" w14:textId="29C937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373,320.00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0BA9" w14:textId="6DE46C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0319" w14:textId="295017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B279" w14:textId="429C6F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750,837.14 </w:t>
            </w:r>
          </w:p>
        </w:tc>
      </w:tr>
      <w:tr w:rsidR="00272BC6" w:rsidRPr="00272BC6" w14:paraId="2B630A4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0E0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1D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B23C" w14:textId="373B7F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7354" w14:textId="7533F1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6,256,800.00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1497" w14:textId="6CF5B1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ABBE" w14:textId="2D9DC8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450F" w14:textId="6181D0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6,445,370.00 </w:t>
            </w:r>
          </w:p>
        </w:tc>
      </w:tr>
      <w:tr w:rsidR="00272BC6" w:rsidRPr="00272BC6" w14:paraId="69DD814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EC1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C3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1876" w14:textId="0D22D5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608D" w14:textId="7B8512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18,340,000.00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DA77" w14:textId="02101F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C785" w14:textId="084888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D4F" w14:textId="0D4725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18,528,570.00 </w:t>
            </w:r>
          </w:p>
        </w:tc>
      </w:tr>
      <w:tr w:rsidR="00272BC6" w:rsidRPr="00272BC6" w14:paraId="7CBE485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5DB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6B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6BB8" w14:textId="4C114D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6E13" w14:textId="37C6B8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AF09" w14:textId="2C04EF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C7D5" w14:textId="65CE42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0EDF" w14:textId="7D22DB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198,020.00 </w:t>
            </w:r>
          </w:p>
        </w:tc>
      </w:tr>
      <w:tr w:rsidR="00272BC6" w:rsidRPr="00272BC6" w14:paraId="00E88E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2E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A9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CFA5" w14:textId="0190E0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CE93" w14:textId="6398F2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2,345,400.00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AAE0" w14:textId="355281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4C8A" w14:textId="2116AE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F299" w14:textId="6607C4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2,533,970.00 </w:t>
            </w:r>
          </w:p>
        </w:tc>
      </w:tr>
      <w:tr w:rsidR="00272BC6" w:rsidRPr="00272BC6" w14:paraId="64B7E27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A0A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01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7F6D" w14:textId="57F4EC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6F22" w14:textId="5C40CB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52D5" w14:textId="2DF828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62F0" w14:textId="1AF971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5573" w14:textId="0CC23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</w:tr>
      <w:tr w:rsidR="00272BC6" w:rsidRPr="00272BC6" w14:paraId="49C38D8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79F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90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3624" w14:textId="29E761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E981" w14:textId="392026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DF51" w14:textId="4D0F0C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FE05" w14:textId="074D33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C642" w14:textId="45A9E5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1,701,740.00 </w:t>
            </w:r>
          </w:p>
        </w:tc>
      </w:tr>
      <w:tr w:rsidR="00272BC6" w:rsidRPr="00272BC6" w14:paraId="52279E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9F6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A5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4CD7" w14:textId="13356D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AA33" w14:textId="40E015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6,418,314.57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350D" w14:textId="3D244B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1B59" w14:textId="70E321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0730" w14:textId="187F11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7,651,958.89 </w:t>
            </w:r>
          </w:p>
        </w:tc>
      </w:tr>
      <w:tr w:rsidR="00272BC6" w:rsidRPr="00272BC6" w14:paraId="30C984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4A4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1D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5A1B" w14:textId="7A3674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77BB" w14:textId="76A9B5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0411" w14:textId="4C97F8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F6C9" w14:textId="72E1DE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6B77" w14:textId="1B92D7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</w:tr>
      <w:tr w:rsidR="00272BC6" w:rsidRPr="00272BC6" w14:paraId="019A551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EB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F5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16C7" w14:textId="1E4F2A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CDF3" w14:textId="2E5416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1,122,180.00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AE48" w14:textId="586A79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D32D" w14:textId="6208FD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4914" w14:textId="15B7A8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1,499,320.00 </w:t>
            </w:r>
          </w:p>
        </w:tc>
      </w:tr>
      <w:tr w:rsidR="00272BC6" w:rsidRPr="00272BC6" w14:paraId="6B5549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013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BC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9D4C" w14:textId="076727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479C" w14:textId="28309F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1,800,944.00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097C" w14:textId="49B092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9D69" w14:textId="2EFA22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83F0" w14:textId="1ABDAC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1,800,944.00 </w:t>
            </w:r>
          </w:p>
        </w:tc>
      </w:tr>
      <w:tr w:rsidR="00272BC6" w:rsidRPr="00272BC6" w14:paraId="0FA55BC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1A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2B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B166" w14:textId="4C8506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4616" w14:textId="66C69C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5,295,671.80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7E07" w14:textId="79DB8B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A9AF" w14:textId="72C1B1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81EF" w14:textId="24F1CC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7,556,610.35 </w:t>
            </w:r>
          </w:p>
        </w:tc>
      </w:tr>
      <w:tr w:rsidR="00272BC6" w:rsidRPr="00272BC6" w14:paraId="78522F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DE2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2F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1B1A" w14:textId="6B9E5A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7869" w14:textId="0EDF44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FDF5" w14:textId="268200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611E" w14:textId="5CD947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8FD1" w14:textId="05294E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</w:tr>
      <w:tr w:rsidR="00272BC6" w:rsidRPr="00272BC6" w14:paraId="6936FD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6F9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F0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6C9C" w14:textId="2C15F8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7576" w14:textId="656F35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1313" w14:textId="657687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8642" w14:textId="213D0C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8152" w14:textId="7B9644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2,028,377.14 </w:t>
            </w:r>
          </w:p>
        </w:tc>
      </w:tr>
      <w:tr w:rsidR="00272BC6" w:rsidRPr="00272BC6" w14:paraId="024B91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37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88E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DE4D" w14:textId="272AED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2384" w14:textId="6F1829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35E1" w14:textId="435127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B1B0" w14:textId="46B5A7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6236" w14:textId="2BBDCE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</w:tr>
      <w:tr w:rsidR="00272BC6" w:rsidRPr="00272BC6" w14:paraId="39BEC0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96F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72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F318" w14:textId="11144A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CD30" w14:textId="3134BF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2,278,900.00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92BC" w14:textId="4D64DC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3080" w14:textId="0899EB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A885" w14:textId="2AEACA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3,023,900.00 </w:t>
            </w:r>
          </w:p>
        </w:tc>
      </w:tr>
      <w:tr w:rsidR="00272BC6" w:rsidRPr="00272BC6" w14:paraId="47A720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2FB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D3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2165" w14:textId="03167A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FD20" w14:textId="287672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A1DF" w14:textId="0287B6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BB67" w14:textId="292FBF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64FD" w14:textId="027AAC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272BC6" w:rsidRPr="00272BC6" w14:paraId="4E6917A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463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ED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09F2" w14:textId="26E603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6920" w14:textId="2DA22B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400,783.00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ACCC" w14:textId="02EF8E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BC1E" w14:textId="006C20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929A" w14:textId="4CFC4D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589,353.00 </w:t>
            </w:r>
          </w:p>
        </w:tc>
      </w:tr>
      <w:tr w:rsidR="00272BC6" w:rsidRPr="00272BC6" w14:paraId="56793A6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C54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4A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40B5" w14:textId="3A9117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191,247.14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049F" w14:textId="50075C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4,670,833.22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0954" w14:textId="10BCEE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9AE3" w14:textId="6AA08F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CB6F" w14:textId="124DE4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4,878,280.39 </w:t>
            </w:r>
          </w:p>
        </w:tc>
      </w:tr>
      <w:tr w:rsidR="00272BC6" w:rsidRPr="00272BC6" w14:paraId="4E304FB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2CD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DF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1164" w14:textId="0A24BF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184C" w14:textId="311F9B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4,876,187.00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F5D2" w14:textId="29CD56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6DCE" w14:textId="33F66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3CB2" w14:textId="5BB0D4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7,371,284.00 </w:t>
            </w:r>
          </w:p>
        </w:tc>
      </w:tr>
      <w:tr w:rsidR="00272BC6" w:rsidRPr="00272BC6" w14:paraId="2877491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95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43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089E" w14:textId="4E5844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705D" w14:textId="595191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11,817,000.00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66E5" w14:textId="370273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2120" w14:textId="20A463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C2D5" w14:textId="0754FE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12,194,140.00 </w:t>
            </w:r>
          </w:p>
        </w:tc>
      </w:tr>
      <w:tr w:rsidR="00272BC6" w:rsidRPr="00272BC6" w14:paraId="43A18A3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C87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21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9276" w14:textId="797721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9720" w14:textId="122BAC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31,775,750.00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93CB" w14:textId="1E83E8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C58A" w14:textId="6035B8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FD19" w14:textId="7E46FF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32,853,267.14 </w:t>
            </w:r>
          </w:p>
        </w:tc>
      </w:tr>
      <w:tr w:rsidR="00272BC6" w:rsidRPr="00272BC6" w14:paraId="0B903D7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11E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B5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EBB7" w14:textId="15C28E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B655" w14:textId="28D288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2,958,420.00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8F1B" w14:textId="218FD0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C96F" w14:textId="73598E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A43C" w14:textId="47E62E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3,146,990.00 </w:t>
            </w:r>
          </w:p>
        </w:tc>
      </w:tr>
      <w:tr w:rsidR="00272BC6" w:rsidRPr="00272BC6" w14:paraId="2CC8363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936D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DE9A35" w14:textId="1B59F8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19,146,835.64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CEB0E1" w14:textId="6DBA54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417,675,001.53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648878" w14:textId="77E0CA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D45089" w14:textId="444F04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229C05" w14:textId="6134BF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436,821,837.17 </w:t>
            </w:r>
          </w:p>
        </w:tc>
      </w:tr>
      <w:tr w:rsidR="00272BC6" w:rsidRPr="00272BC6" w14:paraId="293F960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4EA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F104D" w14:textId="25AA72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14E1C" w14:textId="6C462D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E76D8" w14:textId="191DC3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1FAD0" w14:textId="79B774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FB5D5" w14:textId="5D74AA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</w:tr>
      <w:tr w:rsidR="00272BC6" w:rsidRPr="00272BC6" w14:paraId="6C8D3EE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B68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8DC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B57A" w14:textId="26C3DC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ED46" w14:textId="5C602E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7C1B" w14:textId="4C20B5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0462" w14:textId="3D5BBF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DEA5" w14:textId="652521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</w:tr>
      <w:tr w:rsidR="00272BC6" w:rsidRPr="00272BC6" w14:paraId="0BDDAC0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1F6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B3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AA0A" w14:textId="5671E2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12DC" w14:textId="53C941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3180" w14:textId="130851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E273" w14:textId="11A66C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45A5" w14:textId="778D61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272BC6" w:rsidRPr="00272BC6" w14:paraId="2AD4101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E31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B5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172D" w14:textId="23374A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E8D9" w14:textId="49BB52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9BF5" w14:textId="6EC3E4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D8A6" w14:textId="65E797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3F8F" w14:textId="4C92ED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272BC6" w:rsidRPr="00272BC6" w14:paraId="332B613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B07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06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595D" w14:textId="4A51E1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043F" w14:textId="26E8E6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DF53" w14:textId="018899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1F23" w14:textId="6D9943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4D18" w14:textId="301EFF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272BC6" w:rsidRPr="00272BC6" w14:paraId="2ABDE9C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D70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107E3E" w14:textId="2D5B29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4,657,660.42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7D169" w14:textId="384E2E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75,884,258.01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98E85" w14:textId="009EE4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D7B4E" w14:textId="7B281D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023E5" w14:textId="42E50B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80,541,918.43 </w:t>
            </w:r>
          </w:p>
        </w:tc>
      </w:tr>
      <w:tr w:rsidR="00272BC6" w:rsidRPr="00272BC6" w14:paraId="2F312C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D48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E0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90F7" w14:textId="07D988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712,491.69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34B1" w14:textId="0CFE23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1F6D" w14:textId="384CC2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6A1F" w14:textId="49168A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F2B8" w14:textId="01B40A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712,491.69 </w:t>
            </w:r>
          </w:p>
        </w:tc>
      </w:tr>
      <w:tr w:rsidR="00272BC6" w:rsidRPr="00272BC6" w14:paraId="158DCA7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631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6A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2414" w14:textId="49A8DE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E41D" w14:textId="63B721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3,749,302.00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0601" w14:textId="540E9E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0331" w14:textId="588DC1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D5CCD" w14:textId="1AC275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3,752,886.40 </w:t>
            </w:r>
          </w:p>
        </w:tc>
      </w:tr>
      <w:tr w:rsidR="00272BC6" w:rsidRPr="00272BC6" w14:paraId="520A0B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CEE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0D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E6ED" w14:textId="3FB760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D289" w14:textId="3D6290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3,047,906.00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B3B3" w14:textId="26A9F3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C360" w14:textId="079552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22B4" w14:textId="0A245E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3,308,185.32 </w:t>
            </w:r>
          </w:p>
        </w:tc>
      </w:tr>
      <w:tr w:rsidR="00272BC6" w:rsidRPr="00272BC6" w14:paraId="5EBB5C1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FDC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3E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49E7" w14:textId="54B51C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DEB6" w14:textId="04DAA8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1,674,278.00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C402" w14:textId="5626A8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5D0A" w14:textId="3ECB87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1A14" w14:textId="08B5DC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1,675,711.76 </w:t>
            </w:r>
          </w:p>
        </w:tc>
      </w:tr>
      <w:tr w:rsidR="00272BC6" w:rsidRPr="00272BC6" w14:paraId="1B15E6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99F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18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BCEF" w14:textId="7710C7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15E9" w14:textId="0ABA33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2,969,125.00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5380" w14:textId="2FA36C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36C2" w14:textId="76A8EE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8179" w14:textId="6566F1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2,970,558.76 </w:t>
            </w:r>
          </w:p>
        </w:tc>
      </w:tr>
      <w:tr w:rsidR="00272BC6" w:rsidRPr="00272BC6" w14:paraId="38EF8D7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3246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3F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8C4A" w14:textId="4434F1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445,899.36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A71B" w14:textId="7F033B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14,693,978.00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A7CD" w14:textId="1BFEB8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3A04" w14:textId="690FB0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7D6C" w14:textId="7A1DA6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15,139,877.36 </w:t>
            </w:r>
          </w:p>
        </w:tc>
      </w:tr>
      <w:tr w:rsidR="00272BC6" w:rsidRPr="00272BC6" w14:paraId="60FD98A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25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68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6214" w14:textId="3068EB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64E8B" w14:textId="12FF00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4,532,656.00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E397" w14:textId="05667C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016E" w14:textId="5E963C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B02D" w14:textId="5B4ED2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4,778,887.32 </w:t>
            </w:r>
          </w:p>
        </w:tc>
      </w:tr>
      <w:tr w:rsidR="00272BC6" w:rsidRPr="00272BC6" w14:paraId="3FF280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6CE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EA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5139" w14:textId="5F6BCB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C303" w14:textId="5AC367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865,896.00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129F" w14:textId="738931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3101" w14:textId="75F36B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EBFF" w14:textId="1D685D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866,517.00 </w:t>
            </w:r>
          </w:p>
        </w:tc>
      </w:tr>
      <w:tr w:rsidR="00272BC6" w:rsidRPr="00272BC6" w14:paraId="4D8CAD6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50F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A0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86CE" w14:textId="37DC40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88D7" w14:textId="043EDF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911,796.00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919F" w14:textId="21F84A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61B9" w14:textId="4C8D5A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AB54" w14:textId="4F448F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913,229.76 </w:t>
            </w:r>
          </w:p>
        </w:tc>
      </w:tr>
      <w:tr w:rsidR="00272BC6" w:rsidRPr="00272BC6" w14:paraId="59E54D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513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28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C1B0" w14:textId="3C541F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500A" w14:textId="6D431D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2D9A" w14:textId="7FA4DF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5FF7" w14:textId="160F85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3EB3" w14:textId="4D7F53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2,444,449.00 </w:t>
            </w:r>
          </w:p>
        </w:tc>
      </w:tr>
      <w:tr w:rsidR="00272BC6" w:rsidRPr="00272BC6" w14:paraId="570DE8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E33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52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74E3" w14:textId="52DD80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12DC" w14:textId="32E37C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7F6E" w14:textId="507CA1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5C07" w14:textId="490860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53CE" w14:textId="2EA40F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741,510.00 </w:t>
            </w:r>
          </w:p>
        </w:tc>
      </w:tr>
      <w:tr w:rsidR="00272BC6" w:rsidRPr="00272BC6" w14:paraId="34E8EB9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971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5B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FAB7" w14:textId="5C17BB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28F3" w14:textId="425E68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F6C1" w14:textId="662FA0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02FC" w14:textId="48CD15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5238" w14:textId="2AC859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</w:tr>
      <w:tr w:rsidR="00272BC6" w:rsidRPr="00272BC6" w14:paraId="0584FB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1B6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AA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6F0F" w14:textId="30CA33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871D" w14:textId="4BFA4F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3654" w14:textId="1C7A9F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29B4" w14:textId="4E06B9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BB87" w14:textId="30114D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</w:tr>
      <w:tr w:rsidR="00272BC6" w:rsidRPr="00272BC6" w14:paraId="0D0DA4A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F56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B5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781A" w14:textId="7B868F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5783" w14:textId="216078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5,722,998.00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13CF" w14:textId="5D80DD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B02A" w14:textId="106034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E512" w14:textId="4F758B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5,726,582.40 </w:t>
            </w:r>
          </w:p>
        </w:tc>
      </w:tr>
      <w:tr w:rsidR="00272BC6" w:rsidRPr="00272BC6" w14:paraId="69717D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26E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5B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5395" w14:textId="3FE203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521F" w14:textId="3FE198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2,376,742.00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44AF" w14:textId="5B1CCA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A3C0" w14:textId="26E4B2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BCBE" w14:textId="54692F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2,377,458.88 </w:t>
            </w:r>
          </w:p>
        </w:tc>
      </w:tr>
      <w:tr w:rsidR="00272BC6" w:rsidRPr="00272BC6" w14:paraId="3B9762A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D0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4E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02AC" w14:textId="41BBBF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5814" w14:textId="553958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1,236,426.36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CEB5" w14:textId="020E0B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CE9F" w14:textId="4280EF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6D93" w14:textId="0E8D7D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1,642,626.36 </w:t>
            </w:r>
          </w:p>
        </w:tc>
      </w:tr>
      <w:tr w:rsidR="00272BC6" w:rsidRPr="00272BC6" w14:paraId="3EB233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FF6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01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5EF0" w14:textId="297B9C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0C15" w14:textId="12201D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1,319,248.00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54E1" w14:textId="7B1038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E7A6" w14:textId="76AD1F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8FB7" w14:textId="027530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1,358,676.40 </w:t>
            </w:r>
          </w:p>
        </w:tc>
      </w:tr>
      <w:tr w:rsidR="00272BC6" w:rsidRPr="00272BC6" w14:paraId="31E17FC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F3B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C3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695F" w14:textId="3FC0C5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10,753.20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4504" w14:textId="5D3BB8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2,772,318.00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8CB0" w14:textId="60B2D4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F46F" w14:textId="76DD47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1E83" w14:textId="79393C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2,783,071.20 </w:t>
            </w:r>
          </w:p>
        </w:tc>
      </w:tr>
      <w:tr w:rsidR="00272BC6" w:rsidRPr="00272BC6" w14:paraId="333366B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FB6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C7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F4DF" w14:textId="03BDC0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D3F2" w14:textId="13B5EB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C8F3" w14:textId="17B477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EA8B" w14:textId="1F572E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AF4A" w14:textId="73F323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716,591.68 </w:t>
            </w:r>
          </w:p>
        </w:tc>
      </w:tr>
      <w:tr w:rsidR="00272BC6" w:rsidRPr="00272BC6" w14:paraId="767650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8B3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7A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17BE" w14:textId="6FA719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B3EE" w14:textId="1011EE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4,549,527.64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9E7C" w14:textId="26420F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FB989" w14:textId="0A165C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A956" w14:textId="73FEB1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4,550,244.52 </w:t>
            </w:r>
          </w:p>
        </w:tc>
      </w:tr>
      <w:tr w:rsidR="00272BC6" w:rsidRPr="00272BC6" w14:paraId="3ABA70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862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5F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3A2D" w14:textId="37F982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B413" w14:textId="5B5353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4,837,430.60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340A" w14:textId="549EE6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3647" w14:textId="78C946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290A" w14:textId="776A22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4,838,147.48 </w:t>
            </w:r>
          </w:p>
        </w:tc>
      </w:tr>
      <w:tr w:rsidR="00272BC6" w:rsidRPr="00272BC6" w14:paraId="0DB0A8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5E3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49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0CE6" w14:textId="23BB54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9A70" w14:textId="0FF3B6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1,315,628.02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E16" w14:textId="441154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9BD7" w14:textId="735E60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B4347" w14:textId="6AAF16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1,539,774.24 </w:t>
            </w:r>
          </w:p>
        </w:tc>
      </w:tr>
      <w:tr w:rsidR="00272BC6" w:rsidRPr="00272BC6" w14:paraId="2252E5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88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20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AC26" w14:textId="5EBF6A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EE2B" w14:textId="43CF77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760,144.00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C296" w14:textId="6908DC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BB99" w14:textId="0A9E0C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C4E2" w14:textId="1A0C70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760,861.00 </w:t>
            </w:r>
          </w:p>
        </w:tc>
      </w:tr>
      <w:tr w:rsidR="00272BC6" w:rsidRPr="00272BC6" w14:paraId="709562D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C58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A2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0F17" w14:textId="694AA7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97EE" w14:textId="5CB21B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7699" w14:textId="261F02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D694" w14:textId="652E59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9D24" w14:textId="08E044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1,060,213.60 </w:t>
            </w:r>
          </w:p>
        </w:tc>
      </w:tr>
      <w:tr w:rsidR="00272BC6" w:rsidRPr="00272BC6" w14:paraId="4BA948C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CC5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02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93DB" w14:textId="136748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01EA" w14:textId="0EBF06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132,158.00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412D" w14:textId="7BB186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4D04" w14:textId="33C089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5AFC" w14:textId="41942D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311,378.00 </w:t>
            </w:r>
          </w:p>
        </w:tc>
      </w:tr>
      <w:tr w:rsidR="00272BC6" w:rsidRPr="00272BC6" w14:paraId="15001B6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A66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92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8EB2" w14:textId="67918C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EB0D" w14:textId="31CFEC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445,050.00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27E3" w14:textId="2464B4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2B52" w14:textId="0C93CE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CC5F" w14:textId="676CDC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446,483.76 </w:t>
            </w:r>
          </w:p>
        </w:tc>
      </w:tr>
      <w:tr w:rsidR="00272BC6" w:rsidRPr="00272BC6" w14:paraId="232A3F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8DF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F4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A950" w14:textId="6E8E3E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523,781.73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3169" w14:textId="7F3532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4,607,122.50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70B1" w14:textId="0EEB9C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378E" w14:textId="25C262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02CE" w14:textId="6EFE4E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5,130,904.23 </w:t>
            </w:r>
          </w:p>
        </w:tc>
      </w:tr>
      <w:tr w:rsidR="00272BC6" w:rsidRPr="00272BC6" w14:paraId="1869E20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2EF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57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A03F" w14:textId="354F7F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5A0E" w14:textId="209E3D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2,157,506.46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A005" w14:textId="201679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A234" w14:textId="52CCDE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7C2F" w14:textId="5F6DDA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2,159,657.10 </w:t>
            </w:r>
          </w:p>
        </w:tc>
      </w:tr>
      <w:tr w:rsidR="00272BC6" w:rsidRPr="00272BC6" w14:paraId="531415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00C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26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67D3" w14:textId="2DF1C2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B94F" w14:textId="55FE0F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847,501.00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D342" w14:textId="4AB170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505D" w14:textId="2ABC19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BAE8" w14:textId="376DC3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848,217.88 </w:t>
            </w:r>
          </w:p>
        </w:tc>
      </w:tr>
      <w:tr w:rsidR="00272BC6" w:rsidRPr="00272BC6" w14:paraId="390586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5F4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08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6D09" w14:textId="01BCE7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C67C" w14:textId="6F06A7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3,701,137.71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898A" w14:textId="2A90B8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7523" w14:textId="724812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78D0" w14:textId="307A60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3,893,086.61 </w:t>
            </w:r>
          </w:p>
        </w:tc>
      </w:tr>
      <w:tr w:rsidR="00272BC6" w:rsidRPr="00272BC6" w14:paraId="2E18DDC4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031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3A4E3B" w14:textId="3C4B6F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8,391,397.32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7F598" w14:textId="62D5B4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239,682,281.26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F578A0" w14:textId="5587D1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152A3" w14:textId="0FEE3D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6C201D" w14:textId="3328E7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248,073,678.58 </w:t>
            </w:r>
          </w:p>
        </w:tc>
      </w:tr>
      <w:tr w:rsidR="00272BC6" w:rsidRPr="00272BC6" w14:paraId="62C031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06A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59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602F" w14:textId="1BFCD8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212,261.80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DF5D" w14:textId="589BD1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C908" w14:textId="1AC5D5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EE00" w14:textId="785564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7BBF" w14:textId="2A8C2C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212,261.80 </w:t>
            </w:r>
          </w:p>
        </w:tc>
      </w:tr>
      <w:tr w:rsidR="00272BC6" w:rsidRPr="00272BC6" w14:paraId="5AB3335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73B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C3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4CA9" w14:textId="718C25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1,411,088.58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D898" w14:textId="01C002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4,488,690.00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19F5" w14:textId="50BC45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A493" w14:textId="05202A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4357" w14:textId="593BFB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5,899,778.58 </w:t>
            </w:r>
          </w:p>
        </w:tc>
      </w:tr>
      <w:tr w:rsidR="00272BC6" w:rsidRPr="00272BC6" w14:paraId="473B6F5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4E56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4E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AC90" w14:textId="5C4879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F7B8" w14:textId="668A25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4,870,990.00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F46F" w14:textId="552218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0EB5" w14:textId="696C74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FB10" w14:textId="4F2A0A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5,005,750.66 </w:t>
            </w:r>
          </w:p>
        </w:tc>
      </w:tr>
      <w:tr w:rsidR="00272BC6" w:rsidRPr="00272BC6" w14:paraId="6C1B57A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AD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72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AEB0" w14:textId="37996F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685C" w14:textId="493812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63C5" w14:textId="693758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47F2" w14:textId="02655C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DE6A" w14:textId="79461F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1,124,107.66 </w:t>
            </w:r>
          </w:p>
        </w:tc>
      </w:tr>
      <w:tr w:rsidR="00272BC6" w:rsidRPr="00272BC6" w14:paraId="08F412F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B4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53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C24A" w14:textId="5C68FD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646D" w14:textId="2D321F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1,014,065.00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97BF" w14:textId="64E01A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2E76" w14:textId="02C389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47EC" w14:textId="7F4659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1,156,087.54 </w:t>
            </w:r>
          </w:p>
        </w:tc>
      </w:tr>
      <w:tr w:rsidR="00272BC6" w:rsidRPr="00272BC6" w14:paraId="115F5A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916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6F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90A8" w14:textId="2203EF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6BED" w14:textId="3F8ABF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5,646,790.00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3657" w14:textId="20DF3B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A03E" w14:textId="0D4193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2EEE" w14:textId="274F58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5,788,095.66 </w:t>
            </w:r>
          </w:p>
        </w:tc>
      </w:tr>
      <w:tr w:rsidR="00272BC6" w:rsidRPr="00272BC6" w14:paraId="1F917E1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D96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9F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EE17" w14:textId="5C3D12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CBDC" w14:textId="2105A8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6,610,384.00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9927" w14:textId="602FBF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4C07" w14:textId="0B6939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80BB" w14:textId="0B8230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6,759,796.66 </w:t>
            </w:r>
          </w:p>
        </w:tc>
      </w:tr>
      <w:tr w:rsidR="00272BC6" w:rsidRPr="00272BC6" w14:paraId="42149C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02C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73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AC96" w14:textId="420B33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E1CA" w14:textId="6A0CFA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2,520,372.67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E06B" w14:textId="7E8BD4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4124" w14:textId="77F9EC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B482" w14:textId="390421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2,655,133.33 </w:t>
            </w:r>
          </w:p>
        </w:tc>
      </w:tr>
      <w:tr w:rsidR="00272BC6" w:rsidRPr="00272BC6" w14:paraId="0AB31C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424E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54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E277" w14:textId="08C538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A8C7" w14:textId="421460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72,423,584.00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A0F3" w14:textId="0F7026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6F22" w14:textId="7A0C67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318E" w14:textId="75C09F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72,754,486.96 </w:t>
            </w:r>
          </w:p>
        </w:tc>
      </w:tr>
      <w:tr w:rsidR="00272BC6" w:rsidRPr="00272BC6" w14:paraId="7D5C5AE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3AD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C8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1806" w14:textId="5B87CE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85E1" w14:textId="29F06F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2,919,944.00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F190" w14:textId="6470F6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FFA7" w14:textId="598415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5114" w14:textId="598C92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3,162,236.66 </w:t>
            </w:r>
          </w:p>
        </w:tc>
      </w:tr>
      <w:tr w:rsidR="00272BC6" w:rsidRPr="00272BC6" w14:paraId="65F9CC1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967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84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CA80" w14:textId="639ABA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4879" w14:textId="020421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3,430,090.00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17BC" w14:textId="5EC014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5B1A" w14:textId="3A6DB7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E7D7" w14:textId="437B1A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3,564,850.66 </w:t>
            </w:r>
          </w:p>
        </w:tc>
      </w:tr>
      <w:tr w:rsidR="00272BC6" w:rsidRPr="00272BC6" w14:paraId="2F37C47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775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20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F820" w14:textId="1E7C7F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A9AE" w14:textId="74AFFE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720B" w14:textId="332F3A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F72D" w14:textId="732752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3164" w14:textId="5CF5EF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1,311,144.42 </w:t>
            </w:r>
          </w:p>
        </w:tc>
      </w:tr>
      <w:tr w:rsidR="00272BC6" w:rsidRPr="00272BC6" w14:paraId="0CD5E5A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7C0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EF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875B" w14:textId="6CD9D0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A9D8" w14:textId="22B260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936,413.16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79A4" w14:textId="2E7E4F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6EEE" w14:textId="7FC8B5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7EF3" w14:textId="2AF640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1,124,939.82 </w:t>
            </w:r>
          </w:p>
        </w:tc>
      </w:tr>
      <w:tr w:rsidR="00272BC6" w:rsidRPr="00272BC6" w14:paraId="66E549B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711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33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4B70" w14:textId="3873BD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EE7D" w14:textId="063724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4,272,662.00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1358" w14:textId="36AC70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D9F4" w14:textId="5A6F5F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4E52" w14:textId="447675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4,398,116.00 </w:t>
            </w:r>
          </w:p>
        </w:tc>
      </w:tr>
      <w:tr w:rsidR="00272BC6" w:rsidRPr="00272BC6" w14:paraId="3B1941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B19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99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322E" w14:textId="10668A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CD5B" w14:textId="7728C0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3,784,460.60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C9D6" w14:textId="51C1C0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1645" w14:textId="6519E8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34E6" w14:textId="0D7FCA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3,919,221.26 </w:t>
            </w:r>
          </w:p>
        </w:tc>
      </w:tr>
      <w:tr w:rsidR="00272BC6" w:rsidRPr="00272BC6" w14:paraId="4492C7C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9A0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E0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8FD4" w14:textId="12456B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135,477.54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81AC" w14:textId="563A20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43,395,550.00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6C2A" w14:textId="314B78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6870" w14:textId="6F9B36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8114" w14:textId="1657EC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43,531,027.54 </w:t>
            </w:r>
          </w:p>
        </w:tc>
      </w:tr>
      <w:tr w:rsidR="00272BC6" w:rsidRPr="00272BC6" w14:paraId="2D12586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75D0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F5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3BE0" w14:textId="7C5EE9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B307" w14:textId="32A1B5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8,247,662.00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E549" w14:textId="365222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283D" w14:textId="08308C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9CC7" w14:textId="0E7A91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8,379,661.00 </w:t>
            </w:r>
          </w:p>
        </w:tc>
      </w:tr>
      <w:tr w:rsidR="00272BC6" w:rsidRPr="00272BC6" w14:paraId="643678F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761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81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C513" w14:textId="5C32FC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4DEF" w14:textId="14F699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1,377,555.00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901C" w14:textId="7D6B0A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442F" w14:textId="02A031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99E3" w14:textId="38984B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1,515,906.66 </w:t>
            </w:r>
          </w:p>
        </w:tc>
      </w:tr>
      <w:tr w:rsidR="00272BC6" w:rsidRPr="00272BC6" w14:paraId="01B0783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BF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1A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3B8A" w14:textId="3F5468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C36D" w14:textId="328481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1,256,542.00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F01A" w14:textId="44642D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F564" w14:textId="2904B1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DAB1" w14:textId="651890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1,761,879.88 </w:t>
            </w:r>
          </w:p>
        </w:tc>
      </w:tr>
      <w:tr w:rsidR="00272BC6" w:rsidRPr="00272BC6" w14:paraId="0902730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AD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C0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E725" w14:textId="6E2E9C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7CB6" w14:textId="6AAB33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4,873,780.00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3F23" w14:textId="41B457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0693" w14:textId="126C45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D565" w14:textId="68E07F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5,028,543.16 </w:t>
            </w:r>
          </w:p>
        </w:tc>
      </w:tr>
      <w:tr w:rsidR="00272BC6" w:rsidRPr="00272BC6" w14:paraId="63DFF70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F6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1B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3974" w14:textId="51ECD8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D5A2" w14:textId="4F94A1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1,366,859.92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6E0F" w14:textId="1F3F33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16DB" w14:textId="067BDA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AE7F" w14:textId="595068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1,638,548.04 </w:t>
            </w:r>
          </w:p>
        </w:tc>
      </w:tr>
      <w:tr w:rsidR="00272BC6" w:rsidRPr="00272BC6" w14:paraId="0E73D19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3DC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F2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2A44" w14:textId="7BD3E0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4D71" w14:textId="245A33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515,990.00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C09E" w14:textId="6497AA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3BB3" w14:textId="57E844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14C0" w14:textId="2EDEE0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719,022.64 </w:t>
            </w:r>
          </w:p>
        </w:tc>
      </w:tr>
      <w:tr w:rsidR="00272BC6" w:rsidRPr="00272BC6" w14:paraId="5E5BEA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D08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73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74E3" w14:textId="0F28FB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F56B" w14:textId="3CCEB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D242" w14:textId="0657EB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CCEB" w14:textId="3E216C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543F" w14:textId="0EAF8B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909,450.66 </w:t>
            </w:r>
          </w:p>
        </w:tc>
      </w:tr>
      <w:tr w:rsidR="00272BC6" w:rsidRPr="00272BC6" w14:paraId="6464875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E17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3A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8042" w14:textId="78273D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313A" w14:textId="5689E1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6254" w14:textId="377AC2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E557" w14:textId="3833EA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169F" w14:textId="7C1E54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907,446.50 </w:t>
            </w:r>
          </w:p>
        </w:tc>
      </w:tr>
      <w:tr w:rsidR="00272BC6" w:rsidRPr="00272BC6" w14:paraId="09726D1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8C3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C7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438B" w14:textId="302E63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0EB4" w14:textId="1741C6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7,839,880.00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D5C1" w14:textId="7F4A37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EFBA" w14:textId="239301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AFA0" w14:textId="4AC2E7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8,030,955.56 </w:t>
            </w:r>
          </w:p>
        </w:tc>
      </w:tr>
      <w:tr w:rsidR="00272BC6" w:rsidRPr="00272BC6" w14:paraId="6A8A699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98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AA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E70D" w14:textId="5562B1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BB9D" w14:textId="3053C3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2,204,079.00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1A01" w14:textId="27B256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5309" w14:textId="1E02A0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4A06" w14:textId="2A1300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2,338,839.66 </w:t>
            </w:r>
          </w:p>
        </w:tc>
      </w:tr>
      <w:tr w:rsidR="00272BC6" w:rsidRPr="00272BC6" w14:paraId="340CCB2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1EC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FC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6504" w14:textId="0622D9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1B01" w14:textId="647FE3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1,831,490.00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B2F4" w14:textId="46863F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2051" w14:textId="770D01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AFEB" w14:textId="1884DD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1,966,250.66 </w:t>
            </w:r>
          </w:p>
        </w:tc>
      </w:tr>
      <w:tr w:rsidR="00272BC6" w:rsidRPr="00272BC6" w14:paraId="7204614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B3A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70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8A18" w14:textId="0FFB2E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90A9" w14:textId="7C8DBB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2,813,017.92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8A59" w14:textId="5E5017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41D6" w14:textId="4CA86A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8FDA" w14:textId="600F83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3,025,822.46 </w:t>
            </w:r>
          </w:p>
        </w:tc>
      </w:tr>
      <w:tr w:rsidR="00272BC6" w:rsidRPr="00272BC6" w14:paraId="52A976C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3EA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B2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1DDF" w14:textId="7C6549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300CD" w14:textId="5AF3FC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22,644,174.00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9E01" w14:textId="04FA4A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448F" w14:textId="44D53A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04A1" w14:textId="12EB5C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22,778,934.66 </w:t>
            </w:r>
          </w:p>
        </w:tc>
      </w:tr>
      <w:tr w:rsidR="00272BC6" w:rsidRPr="00272BC6" w14:paraId="2E864D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F2F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EE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A28" w14:textId="47A9E8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143,716.08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3E0D" w14:textId="574BC7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4,025,490.00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3112" w14:textId="704083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49CA" w14:textId="0F3E5E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CAD0" w14:textId="63A14D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4,169,206.08 </w:t>
            </w:r>
          </w:p>
        </w:tc>
      </w:tr>
      <w:tr w:rsidR="00272BC6" w:rsidRPr="00272BC6" w14:paraId="70A4C3D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858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24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33BE" w14:textId="174FAC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0134" w14:textId="207923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E10F" w14:textId="71411C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ECFE" w14:textId="6C93EC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9F5F" w14:textId="519A7E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952,260.66 </w:t>
            </w:r>
          </w:p>
        </w:tc>
      </w:tr>
      <w:tr w:rsidR="00272BC6" w:rsidRPr="00272BC6" w14:paraId="4D5369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A28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EF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C01B" w14:textId="582A45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CE09" w14:textId="40712E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FD6C" w14:textId="652E05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DD05" w14:textId="4E0127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D8EB" w14:textId="50AE9E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1,752,963.66 </w:t>
            </w:r>
          </w:p>
        </w:tc>
      </w:tr>
      <w:tr w:rsidR="00272BC6" w:rsidRPr="00272BC6" w14:paraId="0E40C26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3C4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2E8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93E2" w14:textId="0772CF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30C6" w14:textId="26DA09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1,582,990.00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F672" w14:textId="074444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3712" w14:textId="334784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AE91" w14:textId="28A090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1,724,295.66 </w:t>
            </w:r>
          </w:p>
        </w:tc>
      </w:tr>
      <w:tr w:rsidR="00272BC6" w:rsidRPr="00272BC6" w14:paraId="0F2727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F89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56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7A47" w14:textId="742C4D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E49C" w14:textId="05F2AF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3E51" w14:textId="057166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76D4" w14:textId="470B36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6ED7" w14:textId="670BAA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876,558.54 </w:t>
            </w:r>
          </w:p>
        </w:tc>
      </w:tr>
      <w:tr w:rsidR="00272BC6" w:rsidRPr="00272BC6" w14:paraId="49B2297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FEA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0DD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7287" w14:textId="54AB2A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9031" w14:textId="14322C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618,490.00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77E7" w14:textId="3B6BCB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9311" w14:textId="1049DA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A4DB" w14:textId="4AC6EF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756,841.66 </w:t>
            </w:r>
          </w:p>
        </w:tc>
      </w:tr>
      <w:tr w:rsidR="00272BC6" w:rsidRPr="00272BC6" w14:paraId="2EC5B0C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CC3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6F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5D2E" w14:textId="231BC0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9BDC" w14:textId="14D39F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6,546,636.99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FAD9" w14:textId="47C163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2BF4" w14:textId="287435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F04F" w14:textId="32853B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6,683,711.87 </w:t>
            </w:r>
          </w:p>
        </w:tc>
      </w:tr>
      <w:tr w:rsidR="00272BC6" w:rsidRPr="00272BC6" w14:paraId="7B67553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CD2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3E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DD23" w14:textId="3A5969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3F63" w14:textId="0385BF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3,139,529.00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913A" w14:textId="6A7B6D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5D39" w14:textId="63BA23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36FC" w14:textId="2775BE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3,274,289.66 </w:t>
            </w:r>
          </w:p>
        </w:tc>
      </w:tr>
      <w:tr w:rsidR="00272BC6" w:rsidRPr="00272BC6" w14:paraId="1A1071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CA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F8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B25B" w14:textId="7795F8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47B8" w14:textId="6A58A5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6,359,774.00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1EA9" w14:textId="14A2D3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F171" w14:textId="66FD6B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50CC" w14:textId="4FACC0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6,515,254.04 </w:t>
            </w:r>
          </w:p>
        </w:tc>
      </w:tr>
      <w:tr w:rsidR="00272BC6" w:rsidRPr="00272BC6" w14:paraId="17B677C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8FC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2D048A" w14:textId="43615B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4,805,911.26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13E3C6" w14:textId="4E9DE7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81,703,040.26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5DAE7" w14:textId="425263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B9DB2" w14:textId="3661AB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D7DF8" w14:textId="163BEE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86,508,951.52 </w:t>
            </w:r>
          </w:p>
        </w:tc>
      </w:tr>
      <w:tr w:rsidR="00272BC6" w:rsidRPr="00272BC6" w14:paraId="6064177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EAB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81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81AC" w14:textId="00F5D8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4,805,911.26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6353" w14:textId="1140E0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37B4" w14:textId="49E711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B1FB" w14:textId="01A8D5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CFDC" w14:textId="64D6BA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29,805,911.26 </w:t>
            </w:r>
          </w:p>
        </w:tc>
      </w:tr>
      <w:tr w:rsidR="00272BC6" w:rsidRPr="00272BC6" w14:paraId="48DFF78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61E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A9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FE2D" w14:textId="439DE0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D904" w14:textId="199E59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5208" w14:textId="6ECB86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E61A" w14:textId="5F8993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748D" w14:textId="24A23F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</w:tr>
      <w:tr w:rsidR="00272BC6" w:rsidRPr="00272BC6" w14:paraId="5A29D83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6BE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5A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EBDA" w14:textId="2BDBBC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E7EF" w14:textId="2DB9CA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7837" w14:textId="446968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BF41" w14:textId="7D0EFB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0252" w14:textId="25453D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</w:tr>
      <w:tr w:rsidR="00272BC6" w:rsidRPr="00272BC6" w14:paraId="27375D3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944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A5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C926" w14:textId="25C20E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7392" w14:textId="3D248E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8DCB" w14:textId="36BCBD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71D9" w14:textId="75F7FD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6827" w14:textId="23FAFA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</w:tr>
      <w:tr w:rsidR="00272BC6" w:rsidRPr="00272BC6" w14:paraId="60C651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0A2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FC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DFC7" w14:textId="706757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AAA2" w14:textId="604B88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04C9" w14:textId="55C928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5747" w14:textId="5C38A9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2AD6" w14:textId="717B0F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</w:tr>
      <w:tr w:rsidR="00272BC6" w:rsidRPr="00272BC6" w14:paraId="7CC0DB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7C1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1BB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11EB" w14:textId="242FC6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3C30" w14:textId="38ACB4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D2C7" w14:textId="1F723F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183A" w14:textId="501984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2D55" w14:textId="7367DC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</w:tr>
      <w:tr w:rsidR="00272BC6" w:rsidRPr="00272BC6" w14:paraId="2E140F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3FA4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57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4385" w14:textId="756AE0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278D" w14:textId="640EA0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04B8" w14:textId="761EA9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DF08" w14:textId="054A6B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2E17" w14:textId="6D8107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</w:tr>
      <w:tr w:rsidR="00272BC6" w:rsidRPr="00272BC6" w14:paraId="3D2DE9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A72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A4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BB13" w14:textId="164365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A5F1" w14:textId="1D0281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C074" w14:textId="0F3722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FAEE" w14:textId="1D074C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5FAB" w14:textId="4D3D4C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</w:tr>
      <w:tr w:rsidR="00272BC6" w:rsidRPr="00272BC6" w14:paraId="3605801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2DC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3C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E7B0" w14:textId="57F58E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1199" w14:textId="3E3CBB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D913" w14:textId="2D2750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741C" w14:textId="04EAC4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4E95" w14:textId="0F098A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</w:tr>
      <w:tr w:rsidR="00272BC6" w:rsidRPr="00272BC6" w14:paraId="0881A61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F19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C0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44E6" w14:textId="37DBF0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14FA" w14:textId="2EF159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AA89" w14:textId="15C1A8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434E" w14:textId="0EA29B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D2A3" w14:textId="4C45A4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</w:tr>
      <w:tr w:rsidR="00272BC6" w:rsidRPr="00272BC6" w14:paraId="76D3FB1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53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02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0A01" w14:textId="2220E2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838E" w14:textId="29468D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CB75" w14:textId="5D0B71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1E7E" w14:textId="29F099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C38E" w14:textId="1CCCE4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</w:tr>
      <w:tr w:rsidR="00272BC6" w:rsidRPr="00272BC6" w14:paraId="7714CA0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BA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F7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44C6" w14:textId="28C9AC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17C1" w14:textId="58BFFB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06F4" w14:textId="21130A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8F30" w14:textId="3D9E37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0864" w14:textId="10D89B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</w:tr>
      <w:tr w:rsidR="00272BC6" w:rsidRPr="00272BC6" w14:paraId="7CDA93C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74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F6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0A8E" w14:textId="71369A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A90D" w14:textId="27F15B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2BCB" w14:textId="75F4BB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DCF2" w14:textId="35B1EB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ED5B" w14:textId="3852EC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</w:tr>
      <w:tr w:rsidR="00272BC6" w:rsidRPr="00272BC6" w14:paraId="1FB3B4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4ED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77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D329" w14:textId="298398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7EEC" w14:textId="19F0C4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08F4" w14:textId="6998D4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5268" w14:textId="3262AA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2A7C" w14:textId="625466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</w:tr>
      <w:tr w:rsidR="00272BC6" w:rsidRPr="00272BC6" w14:paraId="20FF874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9F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4A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61F8" w14:textId="2FF7A3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461A" w14:textId="5F7ACB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3992" w14:textId="4DC26E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85FC" w14:textId="1A21C6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D643" w14:textId="346D90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</w:tr>
      <w:tr w:rsidR="00272BC6" w:rsidRPr="00272BC6" w14:paraId="295E51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59E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5A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DDB4" w14:textId="5C041B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32C8" w14:textId="232750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0E2F" w14:textId="30DB5E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C749" w14:textId="53F39D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2DCA" w14:textId="33ACA1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</w:tr>
      <w:tr w:rsidR="00272BC6" w:rsidRPr="00272BC6" w14:paraId="4EFF756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A16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CA880" w14:textId="28EEF4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1,157,484.56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9051A" w14:textId="428BFA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20,405,422.00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57EAE" w14:textId="3BBAD4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B99095" w14:textId="0FD663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EC86E3" w14:textId="30E5AF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21,562,906.56 </w:t>
            </w:r>
          </w:p>
        </w:tc>
      </w:tr>
      <w:tr w:rsidR="00272BC6" w:rsidRPr="00272BC6" w14:paraId="6278D2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C5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B9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0B13" w14:textId="563101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946,844.56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CD9E" w14:textId="6D4D12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E796" w14:textId="5199EE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4061" w14:textId="2CFBBD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AFBE" w14:textId="5A7966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946,844.56 </w:t>
            </w:r>
          </w:p>
        </w:tc>
      </w:tr>
      <w:tr w:rsidR="00272BC6" w:rsidRPr="00272BC6" w14:paraId="6E2CB3F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043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FD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AB63" w14:textId="6D5086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C9B6" w14:textId="5EF770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1ACD" w14:textId="14E140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1E2A" w14:textId="11847B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F61E" w14:textId="192D4A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</w:tr>
      <w:tr w:rsidR="00272BC6" w:rsidRPr="00272BC6" w14:paraId="444B4CE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0E7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426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2BDA8" w14:textId="4C485C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D33C" w14:textId="3598D8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4,647,577.50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92B7" w14:textId="3A57AD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624E" w14:textId="1EF58E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0C80" w14:textId="6133E2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4,813,400.50 </w:t>
            </w:r>
          </w:p>
        </w:tc>
      </w:tr>
      <w:tr w:rsidR="00272BC6" w:rsidRPr="00272BC6" w14:paraId="0E0EBA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177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18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19D5" w14:textId="4E4F24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E83A" w14:textId="6F376E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3,032,197.50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EFD5" w14:textId="62BE12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947A" w14:textId="0763B9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B47C" w14:textId="5383E6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3,077,014.50 </w:t>
            </w:r>
          </w:p>
        </w:tc>
      </w:tr>
      <w:tr w:rsidR="00272BC6" w:rsidRPr="00272BC6" w14:paraId="61838F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E4A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0B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EF86" w14:textId="5AC8D7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DDFE" w14:textId="045E9B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2BEB" w14:textId="1906BF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BD9F" w14:textId="5B27D9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624B" w14:textId="4483E6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</w:tr>
      <w:tr w:rsidR="00272BC6" w:rsidRPr="00272BC6" w14:paraId="5EFEA80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2C4B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1C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35FD" w14:textId="5A46DB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FEFB" w14:textId="15CE52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B561" w14:textId="3ECDAB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2E0B" w14:textId="626907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33BC" w14:textId="153F62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</w:tr>
      <w:tr w:rsidR="00272BC6" w:rsidRPr="00272BC6" w14:paraId="7249283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13A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B3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CE14" w14:textId="48DC28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A2D1" w14:textId="4B2CE9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05B1" w14:textId="20C7DC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2202" w14:textId="59F5BA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5DE0" w14:textId="7E51BA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</w:tr>
      <w:tr w:rsidR="00272BC6" w:rsidRPr="00272BC6" w14:paraId="692FB86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9908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E1F8B4" w14:textId="3379B8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28,552,328.59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ED80C" w14:textId="19FC68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832,966,835.05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32936" w14:textId="712622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D0E931" w14:textId="58BB21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EB7D8" w14:textId="535564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861,519,163.64 </w:t>
            </w:r>
          </w:p>
        </w:tc>
      </w:tr>
      <w:tr w:rsidR="00272BC6" w:rsidRPr="00272BC6" w14:paraId="71DEF27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226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EC977" w14:textId="1ABA89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3C1EF" w14:textId="043738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64,251,321.53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83B048" w14:textId="1CE8DA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EBEC7" w14:textId="2B1E6F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9C59E" w14:textId="225C3B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65,501,259.03 </w:t>
            </w:r>
          </w:p>
        </w:tc>
      </w:tr>
      <w:tr w:rsidR="00272BC6" w:rsidRPr="00272BC6" w14:paraId="2F0AC4D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EF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30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22AF" w14:textId="78AEEC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54B1" w14:textId="180CBA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766,977.00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B7DC" w14:textId="7D730F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372E" w14:textId="32C3D9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E2C1" w14:textId="16D3A0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766,977.00 </w:t>
            </w:r>
          </w:p>
        </w:tc>
      </w:tr>
      <w:tr w:rsidR="00272BC6" w:rsidRPr="00272BC6" w14:paraId="254E8A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DD4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CB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D1F8" w14:textId="70DD81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C553" w14:textId="7B567D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15,519,120.00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DDC4" w14:textId="7461B0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6F29" w14:textId="49E4CF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5241" w14:textId="64F04B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15,669,870.00 </w:t>
            </w:r>
          </w:p>
        </w:tc>
      </w:tr>
      <w:tr w:rsidR="00272BC6" w:rsidRPr="00272BC6" w14:paraId="4BD8930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36A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C58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FAA7" w14:textId="5DE2B7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D4AC" w14:textId="1463AA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6,458,914.00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BBFF" w14:textId="720444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2D08" w14:textId="074E53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6E70" w14:textId="408149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6,644,179.00 </w:t>
            </w:r>
          </w:p>
        </w:tc>
      </w:tr>
      <w:tr w:rsidR="00272BC6" w:rsidRPr="00272BC6" w14:paraId="4F66121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E6E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C7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CF70" w14:textId="77AAAF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BBFA" w14:textId="545425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11,259,550.95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39D0" w14:textId="72AB29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D227" w14:textId="4B9881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0A17" w14:textId="7AFD4E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11,388,430.95 </w:t>
            </w:r>
          </w:p>
        </w:tc>
      </w:tr>
      <w:tr w:rsidR="00272BC6" w:rsidRPr="00272BC6" w14:paraId="3481662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0A7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9D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03B3" w14:textId="4E6320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DD57" w14:textId="0FE295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1,319,964.00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4159" w14:textId="0B7F25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DF28" w14:textId="555485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C39E" w14:textId="63EEF1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1,400,514.00 </w:t>
            </w:r>
          </w:p>
        </w:tc>
      </w:tr>
      <w:tr w:rsidR="00272BC6" w:rsidRPr="00272BC6" w14:paraId="579987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CE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6C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F049" w14:textId="3BEFB6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F69C" w14:textId="180C9D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4,007,082.69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B38E" w14:textId="0E1B2B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5C93" w14:textId="46D491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5556" w14:textId="085A12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4,200,082.69 </w:t>
            </w:r>
          </w:p>
        </w:tc>
      </w:tr>
      <w:tr w:rsidR="00272BC6" w:rsidRPr="00272BC6" w14:paraId="3851554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84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6D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7C5E" w14:textId="521B5C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10AB" w14:textId="473F98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6,671,712.04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46F7" w14:textId="05EE6C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3936" w14:textId="1E2D48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B166" w14:textId="680BB9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6,820,729.54 </w:t>
            </w:r>
          </w:p>
        </w:tc>
      </w:tr>
      <w:tr w:rsidR="00272BC6" w:rsidRPr="00272BC6" w14:paraId="6875B13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03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1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1B17" w14:textId="654E99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23AA" w14:textId="42911B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5,945,105.00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F03A" w14:textId="778530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8EC7" w14:textId="5E3529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3A7E" w14:textId="244174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6,126,342.50 </w:t>
            </w:r>
          </w:p>
        </w:tc>
      </w:tr>
      <w:tr w:rsidR="00272BC6" w:rsidRPr="00272BC6" w14:paraId="72AA56C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C62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21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2AD1" w14:textId="7205EA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7E06" w14:textId="221E4D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12,302,895.85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8DD1" w14:textId="627880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320A" w14:textId="61E196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7C6E" w14:textId="36908E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12,484,133.35 </w:t>
            </w:r>
          </w:p>
        </w:tc>
      </w:tr>
      <w:tr w:rsidR="00272BC6" w:rsidRPr="00272BC6" w14:paraId="4370E5B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03A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3E1FA" w14:textId="1D89D4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1,783,670.13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11EAC" w14:textId="7A368D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14,783,762.30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260B6" w14:textId="024339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4F0C0" w14:textId="4FC447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4BCEE" w14:textId="619A6D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16,567,432.43 </w:t>
            </w:r>
          </w:p>
        </w:tc>
      </w:tr>
      <w:tr w:rsidR="00272BC6" w:rsidRPr="00272BC6" w14:paraId="7D4C77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A06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3F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0F18" w14:textId="536A60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F418" w14:textId="640682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1789" w14:textId="4396EA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9BF2" w14:textId="6B3891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36BC" w14:textId="57D05A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272BC6" w:rsidRPr="00272BC6" w14:paraId="0B3F9AB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F40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CC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77DA" w14:textId="1DBB48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D8FC" w14:textId="54465A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2,631,375.00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1FDF" w14:textId="48785E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B687" w14:textId="70C32E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5773" w14:textId="11064E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2,755,941.00 </w:t>
            </w:r>
          </w:p>
        </w:tc>
      </w:tr>
      <w:tr w:rsidR="00272BC6" w:rsidRPr="00272BC6" w14:paraId="7D160A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14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16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A37B" w14:textId="6F7EBC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194,972.40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69F2" w14:textId="2ED880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2E99" w14:textId="74EB89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7A93" w14:textId="671157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2ED1" w14:textId="34CF48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8,800,972.40 </w:t>
            </w:r>
          </w:p>
        </w:tc>
      </w:tr>
      <w:tr w:rsidR="00272BC6" w:rsidRPr="00272BC6" w14:paraId="357256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A27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0FC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BD4F" w14:textId="6A3331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3C05" w14:textId="48A6DC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47C2" w14:textId="7105D8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C34D" w14:textId="5C2B62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5B7C" w14:textId="33491D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272BC6" w:rsidRPr="00272BC6" w14:paraId="31E7B3F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D82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E3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1FAD" w14:textId="54800E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D204" w14:textId="139172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1,362,897.30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B6B2" w14:textId="6934C6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C34D" w14:textId="6FE01A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2588" w14:textId="4311FC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1,578,368.55 </w:t>
            </w:r>
          </w:p>
        </w:tc>
      </w:tr>
      <w:tr w:rsidR="00272BC6" w:rsidRPr="00272BC6" w14:paraId="307FCED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FD1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A7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E97F" w14:textId="21B938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8E8B" w14:textId="0DD0A0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496D" w14:textId="106BDA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E020" w14:textId="4B28B8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D31D" w14:textId="63B99A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272BC6" w:rsidRPr="00272BC6" w14:paraId="1510E86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BB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C6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4DE4" w14:textId="50FC03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C70B" w14:textId="1B3348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2,183,490.00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D912" w14:textId="6EB6D6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6CD7" w14:textId="5C1634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6421" w14:textId="5E20BE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2,347,990.00 </w:t>
            </w:r>
          </w:p>
        </w:tc>
      </w:tr>
      <w:tr w:rsidR="00272BC6" w:rsidRPr="00272BC6" w14:paraId="3E87934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FB9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02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E0E1" w14:textId="1FD374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F7DE" w14:textId="6FDDD6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0194" w14:textId="3945C2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3D0C" w14:textId="655FA7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A444" w14:textId="31C5EE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142,434.00 </w:t>
            </w:r>
          </w:p>
        </w:tc>
      </w:tr>
      <w:tr w:rsidR="00272BC6" w:rsidRPr="00272BC6" w14:paraId="07930A6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ADF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9B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EDFA" w14:textId="31E3E2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59C5" w14:textId="25E5FB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E57B" w14:textId="425BE9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96E4" w14:textId="355038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A8A7" w14:textId="47F051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272BC6" w:rsidRPr="00272BC6" w14:paraId="0E84EF1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1DA8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EB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5BAE" w14:textId="4A5BF8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01E5" w14:textId="74CBB2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864F" w14:textId="2AFF5D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4F8E" w14:textId="3866A4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BFAB" w14:textId="4BDDBF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272BC6" w:rsidRPr="00272BC6" w14:paraId="4D6366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53B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C1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8D7A" w14:textId="4BC99F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44D4" w14:textId="3A22F4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6C1A" w14:textId="19D626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21A6" w14:textId="46BCA0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AF0D" w14:textId="616AFD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272BC6" w:rsidRPr="00272BC6" w14:paraId="37E8388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FFD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C5E16D" w14:textId="7CBCCB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7,458,225.02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65DB0E" w14:textId="4A2631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282,880,782.68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1745D" w14:textId="125732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29EA2E" w14:textId="14F83E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AABF" w14:textId="2BF11F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290,339,007.70 </w:t>
            </w:r>
          </w:p>
        </w:tc>
      </w:tr>
      <w:tr w:rsidR="00272BC6" w:rsidRPr="00272BC6" w14:paraId="3C7CB33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D76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FB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6C6E" w14:textId="74DCF9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B5C4" w14:textId="1C659D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5,285,280.00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F924" w14:textId="509CE8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CB37" w14:textId="52C98F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07F9" w14:textId="09E39F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5,285,640.78 </w:t>
            </w:r>
          </w:p>
        </w:tc>
      </w:tr>
      <w:tr w:rsidR="00272BC6" w:rsidRPr="00272BC6" w14:paraId="42B3C6E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79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6C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6069" w14:textId="3F1930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69" w14:textId="5790F1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9,543,750.00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4AFD" w14:textId="59F0CC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7858" w14:textId="05698B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96CB" w14:textId="6044C4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9,933,999.68 </w:t>
            </w:r>
          </w:p>
        </w:tc>
      </w:tr>
      <w:tr w:rsidR="00272BC6" w:rsidRPr="00272BC6" w14:paraId="673CD4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19D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0E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0673" w14:textId="5075C6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5A65" w14:textId="6E2E7C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28,386,000.00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AEC2" w14:textId="7E1F62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08B2" w14:textId="1A50EC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3B55" w14:textId="423F67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29,342,535.58 </w:t>
            </w:r>
          </w:p>
        </w:tc>
      </w:tr>
      <w:tr w:rsidR="00272BC6" w:rsidRPr="00272BC6" w14:paraId="13EF68F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F09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31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D3FD" w14:textId="481F5D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7D54" w14:textId="7E9808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F96C" w14:textId="0D6C65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9260" w14:textId="28F02F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6DAD" w14:textId="3ED496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5,813,185.84 </w:t>
            </w:r>
          </w:p>
        </w:tc>
      </w:tr>
      <w:tr w:rsidR="00272BC6" w:rsidRPr="00272BC6" w14:paraId="54CE11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24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E8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732E" w14:textId="55ED59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8F24" w14:textId="6B5F2C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10,251,500.00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336A" w14:textId="552D68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5375" w14:textId="791B86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8333" w14:textId="5A88E8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10,393,368.08 </w:t>
            </w:r>
          </w:p>
        </w:tc>
      </w:tr>
      <w:tr w:rsidR="00272BC6" w:rsidRPr="00272BC6" w14:paraId="713120B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86F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F9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DB49" w14:textId="6A0D73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58A7" w14:textId="27D442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6,250,885.68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A14A" w14:textId="55AA63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4437" w14:textId="302827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AB87" w14:textId="24DDBE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6,366,030.21 </w:t>
            </w:r>
          </w:p>
        </w:tc>
      </w:tr>
      <w:tr w:rsidR="00272BC6" w:rsidRPr="00272BC6" w14:paraId="2298C9A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057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3F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5ADA" w14:textId="7ED692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0D87" w14:textId="30837B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30,386,000.00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AD97" w14:textId="58D838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4083" w14:textId="3D4740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C671" w14:textId="38DF15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30,544,666.92 </w:t>
            </w:r>
          </w:p>
        </w:tc>
      </w:tr>
      <w:tr w:rsidR="00272BC6" w:rsidRPr="00272BC6" w14:paraId="3FBB89F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BBA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C26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AAA2" w14:textId="16A255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FD49" w14:textId="05258A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1,749,440.00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E40F" w14:textId="1E6983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0E1B" w14:textId="64B487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08FD" w14:textId="4FC33F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1,965,640.00 </w:t>
            </w:r>
          </w:p>
        </w:tc>
      </w:tr>
      <w:tr w:rsidR="00272BC6" w:rsidRPr="00272BC6" w14:paraId="6612F15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50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99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44AE6" w14:textId="2F11AA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5B08" w14:textId="18E860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10,240,000.00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16F4" w14:textId="06065B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4856" w14:textId="5EE125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DFD6" w14:textId="621A38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10,392,986.08 </w:t>
            </w:r>
          </w:p>
        </w:tc>
      </w:tr>
      <w:tr w:rsidR="00272BC6" w:rsidRPr="00272BC6" w14:paraId="2C47447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1F7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2E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E42A" w14:textId="1CA8FD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E9BD" w14:textId="3DE07F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22,249,826.00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C045" w14:textId="13CBBB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CAEC" w14:textId="5C8187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6786" w14:textId="0EE6EB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22,594,898.81 </w:t>
            </w:r>
          </w:p>
        </w:tc>
      </w:tr>
      <w:tr w:rsidR="00272BC6" w:rsidRPr="00272BC6" w14:paraId="76B70BE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59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CC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DA38" w14:textId="706283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246,258.18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8098" w14:textId="6D7DA1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106C" w14:textId="4CCBF7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EAD4" w14:textId="64BE19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C0ED" w14:textId="0DB27D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7,946,258.18 </w:t>
            </w:r>
          </w:p>
        </w:tc>
      </w:tr>
      <w:tr w:rsidR="00272BC6" w:rsidRPr="00272BC6" w14:paraId="1C8783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F91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8EB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B04C" w14:textId="1EDDF8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F99A" w14:textId="6510DF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14,061,600.00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3FF1" w14:textId="6C8259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E6D5" w14:textId="28C541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2A89" w14:textId="75A2B7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14,404,496.82 </w:t>
            </w:r>
          </w:p>
        </w:tc>
      </w:tr>
      <w:tr w:rsidR="00272BC6" w:rsidRPr="00272BC6" w14:paraId="7DA8E0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2B8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F5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F27D" w14:textId="05E37B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63E7" w14:textId="5E27EB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19,242,800.00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5B1F" w14:textId="7F72C7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BC09" w14:textId="013D5C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5DD7" w14:textId="5662C4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19,573,813.18 </w:t>
            </w:r>
          </w:p>
        </w:tc>
      </w:tr>
      <w:tr w:rsidR="00272BC6" w:rsidRPr="00272BC6" w14:paraId="0885DC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05E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7D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B097" w14:textId="715D04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915B" w14:textId="4E3D70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1,549,219.00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3DAF" w14:textId="57947C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0C28" w14:textId="58EC26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5378" w14:textId="5F3B4C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1,958,661.04 </w:t>
            </w:r>
          </w:p>
        </w:tc>
      </w:tr>
      <w:tr w:rsidR="00272BC6" w:rsidRPr="00272BC6" w14:paraId="10E087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977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7D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6B63" w14:textId="173BA1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AB47" w14:textId="3A8095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9570" w14:textId="6F583C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D0F1" w14:textId="503C51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6CB6" w14:textId="1789A5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5,150,642.42 </w:t>
            </w:r>
          </w:p>
        </w:tc>
      </w:tr>
      <w:tr w:rsidR="00272BC6" w:rsidRPr="00272BC6" w14:paraId="4AAFD1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96D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38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67C1" w14:textId="5A0E08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360,799.78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524D" w14:textId="31CFCF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21,861,000.00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F8C4" w14:textId="27FCD6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31CD" w14:textId="615689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3A99" w14:textId="354ADE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22,221,799.78 </w:t>
            </w:r>
          </w:p>
        </w:tc>
      </w:tr>
      <w:tr w:rsidR="00272BC6" w:rsidRPr="00272BC6" w14:paraId="4EA3479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C4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14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1435" w14:textId="775A08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E1E8" w14:textId="64B89D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8B5F" w14:textId="6FF34B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B2B8" w14:textId="0C3426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3CBF" w14:textId="029D15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2,645,518.74 </w:t>
            </w:r>
          </w:p>
        </w:tc>
      </w:tr>
      <w:tr w:rsidR="00272BC6" w:rsidRPr="00272BC6" w14:paraId="47E8F7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F8F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F5E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EC39" w14:textId="3E58D1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14DC" w14:textId="1FF27E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15,461,820.00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00B4" w14:textId="57F185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EFDB" w14:textId="796F7F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5EB3" w14:textId="6D4E07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15,605,345.46 </w:t>
            </w:r>
          </w:p>
        </w:tc>
      </w:tr>
      <w:tr w:rsidR="00272BC6" w:rsidRPr="00272BC6" w14:paraId="06B66C4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921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BD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16C8" w14:textId="12CC7B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A436" w14:textId="5A1002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10,826,000.00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963E" w14:textId="02E8F1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8E35" w14:textId="506B78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5E3F" w14:textId="2B7B83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10,976,821.58 </w:t>
            </w:r>
          </w:p>
        </w:tc>
      </w:tr>
      <w:tr w:rsidR="00272BC6" w:rsidRPr="00272BC6" w14:paraId="2F25A3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5C8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F9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4345" w14:textId="4D1164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89C7" w14:textId="111860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19,984,181.00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7DB9" w14:textId="382B2B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E14B" w14:textId="7F2676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F834" w14:textId="152B93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20,328,002.56 </w:t>
            </w:r>
          </w:p>
        </w:tc>
      </w:tr>
      <w:tr w:rsidR="00272BC6" w:rsidRPr="00272BC6" w14:paraId="035FD6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A8F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FB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1EB8" w14:textId="5AA00E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897,871.44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45A6" w14:textId="0CBAD5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18,897,120.00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ABBF" w14:textId="59746A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B24C" w14:textId="54F4A7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0DBD" w14:textId="4DD5A0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19,794,991.44 </w:t>
            </w:r>
          </w:p>
        </w:tc>
      </w:tr>
      <w:tr w:rsidR="00272BC6" w:rsidRPr="00272BC6" w14:paraId="37EA92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4B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84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0E8B" w14:textId="15E4DF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EA66" w14:textId="126863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199,361.00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2737" w14:textId="293C1E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52DA" w14:textId="68AFBB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6849" w14:textId="7798BC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858,636.68 </w:t>
            </w:r>
          </w:p>
        </w:tc>
      </w:tr>
      <w:tr w:rsidR="00272BC6" w:rsidRPr="00272BC6" w14:paraId="0A0A704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A5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63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F766" w14:textId="4974B4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CFCF" w14:textId="12792C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11,111,000.00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042D" w14:textId="25A9DC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133C" w14:textId="721441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92F4" w14:textId="2D1B47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11,355,437.06 </w:t>
            </w:r>
          </w:p>
        </w:tc>
      </w:tr>
      <w:tr w:rsidR="00272BC6" w:rsidRPr="00272BC6" w14:paraId="205689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26B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A6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0EA6" w14:textId="697AF8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C773" w14:textId="28A138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4,522,000.00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7C1D" w14:textId="3FB233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4F9C" w14:textId="161467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DCCD" w14:textId="5B881F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4,885,630.78 </w:t>
            </w:r>
          </w:p>
        </w:tc>
      </w:tr>
      <w:tr w:rsidR="00272BC6" w:rsidRPr="00272BC6" w14:paraId="5DE93F0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682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4D39CF" w14:textId="4E6D9B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6,327,505.00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AFBA41" w14:textId="6FC4BC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162,946,897.89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9135A" w14:textId="2D8D2B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81EF7" w14:textId="754664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8B734" w14:textId="4F527E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169,274,402.89 </w:t>
            </w:r>
          </w:p>
        </w:tc>
      </w:tr>
      <w:tr w:rsidR="00272BC6" w:rsidRPr="00272BC6" w14:paraId="702F657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4A4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4B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50E7" w14:textId="541CD3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6BCF" w14:textId="071CD8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BF63" w14:textId="68FB21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14FB" w14:textId="34D2BF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96C2" w14:textId="3D29D5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272BC6" w:rsidRPr="00272BC6" w14:paraId="16F2DF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B6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68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366F" w14:textId="02BAA1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3118" w14:textId="6A0CF2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4,409,575.25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275A" w14:textId="41A2AF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AC66" w14:textId="308782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6C8A" w14:textId="13D709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4,651,225.25 </w:t>
            </w:r>
          </w:p>
        </w:tc>
      </w:tr>
      <w:tr w:rsidR="00272BC6" w:rsidRPr="00272BC6" w14:paraId="74A996A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F74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82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1C09" w14:textId="01C298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604,125.00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68D9" w14:textId="6EC21D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47,997,200.00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3609" w14:textId="34D491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ABA4" w14:textId="24F20D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B181" w14:textId="0241C7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48,601,325.00 </w:t>
            </w:r>
          </w:p>
        </w:tc>
      </w:tr>
      <w:tr w:rsidR="00272BC6" w:rsidRPr="00272BC6" w14:paraId="3D337A9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64B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79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CEDB" w14:textId="1A5BD5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696B" w14:textId="5DD5B4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17,647,200.00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211C" w14:textId="71000E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1718" w14:textId="3D8835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F187" w14:textId="318EF9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17,990,407.50 </w:t>
            </w:r>
          </w:p>
        </w:tc>
      </w:tr>
      <w:tr w:rsidR="00272BC6" w:rsidRPr="00272BC6" w14:paraId="128CFF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F0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2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CAD7" w14:textId="627EC4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70CD" w14:textId="5F5641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2205" w14:textId="587F02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E079" w14:textId="39E064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66CF" w14:textId="6A04D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452,406.25 </w:t>
            </w:r>
          </w:p>
        </w:tc>
      </w:tr>
      <w:tr w:rsidR="00272BC6" w:rsidRPr="00272BC6" w14:paraId="69DEB12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09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74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FF7C" w14:textId="5F465B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2C1D" w14:textId="5ED38A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4,434,740.00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15DF" w14:textId="7168A7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F4D6" w14:textId="7D21ED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9400" w14:textId="5C64A3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4,746,871.25 </w:t>
            </w:r>
          </w:p>
        </w:tc>
      </w:tr>
      <w:tr w:rsidR="00272BC6" w:rsidRPr="00272BC6" w14:paraId="4E98087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FB1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ED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1D1D" w14:textId="0305DC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B96E" w14:textId="7D3FE9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66E9" w14:textId="7DDD10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CA17" w14:textId="7EEA45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BF34" w14:textId="50C9C9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</w:tr>
      <w:tr w:rsidR="00272BC6" w:rsidRPr="00272BC6" w14:paraId="5F55914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A21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D0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9C47" w14:textId="71345A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4510" w14:textId="472484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2,419,550.00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2531" w14:textId="0E97FF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B359" w14:textId="584D08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4269" w14:textId="5B8EF6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2,633,007.50 </w:t>
            </w:r>
          </w:p>
        </w:tc>
      </w:tr>
      <w:tr w:rsidR="00272BC6" w:rsidRPr="00272BC6" w14:paraId="443404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66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ADE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3F1F" w14:textId="7E638B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4C72" w14:textId="08EFCA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1,299,550.00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967D" w14:textId="106F30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3AF6" w14:textId="3F6F6B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CB73" w14:textId="4AE89E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1,589,050.00 </w:t>
            </w:r>
          </w:p>
        </w:tc>
      </w:tr>
      <w:tr w:rsidR="00272BC6" w:rsidRPr="00272BC6" w14:paraId="58AB01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C11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7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2309" w14:textId="54B7A3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FE44" w14:textId="1F3107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2,803,200.00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430E" w14:textId="44CD87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4D73" w14:textId="045181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F4B1" w14:textId="0C63D6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3,105,262.50 </w:t>
            </w:r>
          </w:p>
        </w:tc>
      </w:tr>
      <w:tr w:rsidR="00272BC6" w:rsidRPr="00272BC6" w14:paraId="44A1553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18E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8E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BA04" w14:textId="7C1DFC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17A5" w14:textId="5B5258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203C" w14:textId="6ACF1E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6B0C" w14:textId="50C6B9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8F9E" w14:textId="62D6EA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</w:tr>
      <w:tr w:rsidR="00272BC6" w:rsidRPr="00272BC6" w14:paraId="6C5A597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F47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39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82B4" w14:textId="58E91B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ED15" w14:textId="7A28F4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3996" w14:textId="465DD2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0C2E" w14:textId="35659E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0EA2" w14:textId="70044B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272BC6" w:rsidRPr="00272BC6" w14:paraId="41FF843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6B9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18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B2E2" w14:textId="0834A0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5B33" w14:textId="2D248A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77DD" w14:textId="6394B4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25F0" w14:textId="3CF25C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3B0E" w14:textId="0226B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272BC6" w:rsidRPr="00272BC6" w14:paraId="31C1B8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117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DA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CA19" w14:textId="27B349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0231" w14:textId="6D0BE0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4,536,020.64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D4DD" w14:textId="323CB2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EB91" w14:textId="2610E8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E5E1" w14:textId="1E59D1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4,656,845.64 </w:t>
            </w:r>
          </w:p>
        </w:tc>
      </w:tr>
      <w:tr w:rsidR="00272BC6" w:rsidRPr="00272BC6" w14:paraId="1CE2C3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2EB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18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1C75" w14:textId="7756D7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84FB" w14:textId="454C27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47CF" w14:textId="7B65D0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93A3" w14:textId="6A583D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99FA" w14:textId="33BFE0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604,712.50 </w:t>
            </w:r>
          </w:p>
        </w:tc>
      </w:tr>
      <w:tr w:rsidR="00272BC6" w:rsidRPr="00272BC6" w14:paraId="620CF2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FB1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9B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933C" w14:textId="412618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550B" w14:textId="5DDF8C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8,646,456.00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3E5D" w14:textId="12401C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EE8" w14:textId="087B47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4D59" w14:textId="71E2AA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8,767,281.00 </w:t>
            </w:r>
          </w:p>
        </w:tc>
      </w:tr>
      <w:tr w:rsidR="00272BC6" w:rsidRPr="00272BC6" w14:paraId="24C3A6E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64D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6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910C" w14:textId="5310AB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3F6B" w14:textId="0F9DBE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BF58" w14:textId="57ED6C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53C7" w14:textId="3F18AD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FE10" w14:textId="74E8FB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</w:tr>
      <w:tr w:rsidR="00272BC6" w:rsidRPr="00272BC6" w14:paraId="3D28C97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770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4F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D3C7" w14:textId="75539D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808B" w14:textId="74B10C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02BA" w14:textId="7BE913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1762F" w14:textId="3B7B57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BB7F" w14:textId="03ECBD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</w:tr>
      <w:tr w:rsidR="00272BC6" w:rsidRPr="00272BC6" w14:paraId="1A3631A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656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D6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4C36" w14:textId="5AAFF6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5FE6" w14:textId="10D5BE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912,800.00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E1CF" w14:textId="355D86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815E" w14:textId="7AF09B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AB59" w14:textId="7746DF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1,073,900.00 </w:t>
            </w:r>
          </w:p>
        </w:tc>
      </w:tr>
      <w:tr w:rsidR="00272BC6" w:rsidRPr="00272BC6" w14:paraId="185202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B8F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39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B793" w14:textId="2C73F9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2E3C" w14:textId="4B95E2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79B" w14:textId="42817A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C6B0" w14:textId="5B7B11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1C50" w14:textId="21FD22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1,632,109.50 </w:t>
            </w:r>
          </w:p>
        </w:tc>
      </w:tr>
      <w:tr w:rsidR="00272BC6" w:rsidRPr="00272BC6" w14:paraId="36A6B4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069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8B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21B6" w14:textId="1191F3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EF8C" w14:textId="5F9A05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C30D" w14:textId="4A2777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807F" w14:textId="467EF6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5983" w14:textId="2DF294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3,611,100.00 </w:t>
            </w:r>
          </w:p>
        </w:tc>
      </w:tr>
      <w:tr w:rsidR="00272BC6" w:rsidRPr="00272BC6" w14:paraId="5BE35A0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84E8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0E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D11A" w14:textId="5E2FB0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B906" w14:textId="7771CF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24,404,040.00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E835" w14:textId="021BC5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089A" w14:textId="68EC69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E37F" w14:textId="10AB2E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24,774,570.00 </w:t>
            </w:r>
          </w:p>
        </w:tc>
      </w:tr>
      <w:tr w:rsidR="00272BC6" w:rsidRPr="00272BC6" w14:paraId="18638B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17E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C5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AB52" w14:textId="5F3764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4FF8" w14:textId="2C8206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9537" w14:textId="741B5A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3AB2" w14:textId="4EC9CA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7EBB" w14:textId="3B2B79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272BC6" w:rsidRPr="00272BC6" w14:paraId="0177408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93C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38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5014" w14:textId="345850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F89E" w14:textId="18DE44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9,404,199.00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87DD" w14:textId="26EA9B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E12E" w14:textId="614DAE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8EE1" w14:textId="5BB64D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9,784,797.75 </w:t>
            </w:r>
          </w:p>
        </w:tc>
      </w:tr>
      <w:tr w:rsidR="00272BC6" w:rsidRPr="00272BC6" w14:paraId="09803C1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35F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A1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07A" w14:textId="6207C4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C9E" w14:textId="16BDA5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17,190,000.00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9A23" w14:textId="38E812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0829" w14:textId="78EA30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CADC" w14:textId="391966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17,492,062.50 </w:t>
            </w:r>
          </w:p>
        </w:tc>
      </w:tr>
      <w:tr w:rsidR="00272BC6" w:rsidRPr="00272BC6" w14:paraId="2DB0E7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A3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11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5CEA" w14:textId="2619E3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67DA" w14:textId="1677C6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72,225.00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1725" w14:textId="287431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D782" w14:textId="40B34C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73BC" w14:textId="5A6B1E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213,187.50 </w:t>
            </w:r>
          </w:p>
        </w:tc>
      </w:tr>
      <w:tr w:rsidR="00272BC6" w:rsidRPr="00272BC6" w14:paraId="2D9E8B4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E5B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0D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DCBC" w14:textId="1038C5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DF08" w14:textId="48F4C3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1,192,880.00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FB5D" w14:textId="4FE47F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073B" w14:textId="32D5D7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6A95" w14:textId="18CA9C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1,385,880.00 </w:t>
            </w:r>
          </w:p>
        </w:tc>
      </w:tr>
      <w:tr w:rsidR="00272BC6" w:rsidRPr="00272BC6" w14:paraId="1841286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10E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8202B" w14:textId="31135D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5,003,690.24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6E817" w14:textId="3C759A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78,125,216.65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2855C" w14:textId="48FFAD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52ED72" w14:textId="0D845E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BEBC9" w14:textId="7742DA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83,128,906.89 </w:t>
            </w:r>
          </w:p>
        </w:tc>
      </w:tr>
      <w:tr w:rsidR="00272BC6" w:rsidRPr="00272BC6" w14:paraId="49A510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D6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1F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828B" w14:textId="4C4F03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04BB" w14:textId="42F518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6C0C" w14:textId="2CFC17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FAB3" w14:textId="18E51A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85E8" w14:textId="00BB3A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272BC6" w:rsidRPr="00272BC6" w14:paraId="43562B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9F0E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98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48A0" w14:textId="3BC728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01BB" w14:textId="34B1AF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1,958,100.00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5A72" w14:textId="784881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9663" w14:textId="155251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3F0A" w14:textId="340C65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1,971,088.08 </w:t>
            </w:r>
          </w:p>
        </w:tc>
      </w:tr>
      <w:tr w:rsidR="00272BC6" w:rsidRPr="00272BC6" w14:paraId="7E71B7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9BC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1F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14C0" w14:textId="3B72E3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C133" w14:textId="4E9C9B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84E3" w14:textId="3CFE68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DD9E" w14:textId="2C5BA0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D87B" w14:textId="6A5725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272BC6" w:rsidRPr="00272BC6" w14:paraId="1276A95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075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D4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B65E" w14:textId="09DABB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006C" w14:textId="176609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2BFD" w14:textId="6CF777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7363" w14:textId="5E9ADA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54B5" w14:textId="501CE7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272BC6" w:rsidRPr="00272BC6" w14:paraId="06286DB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BB6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D1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D006" w14:textId="7FAEA3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5F3B" w14:textId="587DB3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273B" w14:textId="1448B1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099B" w14:textId="2074E4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4CDC" w14:textId="431608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272BC6" w:rsidRPr="00272BC6" w14:paraId="17826E4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4C3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48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6835" w14:textId="4CA930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8887" w14:textId="2EEDF7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596,070.00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83A1" w14:textId="5C36FD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7023" w14:textId="7A9FEE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AE7B" w14:textId="4CE9EA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1,855,255.44 </w:t>
            </w:r>
          </w:p>
        </w:tc>
      </w:tr>
      <w:tr w:rsidR="00272BC6" w:rsidRPr="00272BC6" w14:paraId="1307DF5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E8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0F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6839" w14:textId="7B3F0E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0C07" w14:textId="0191FB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40AA" w14:textId="7C9AA3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7540" w14:textId="7E24BF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FAA2" w14:textId="2CD69F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950,525.46 </w:t>
            </w:r>
          </w:p>
        </w:tc>
      </w:tr>
      <w:tr w:rsidR="00272BC6" w:rsidRPr="00272BC6" w14:paraId="4D4BDFF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A3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0F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6CBE" w14:textId="7626D3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9AFF" w14:textId="241252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3115" w14:textId="04DDAF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C3A1" w14:textId="4C5A8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B886" w14:textId="17DE83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272BC6" w:rsidRPr="00272BC6" w14:paraId="3D374C3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D02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3F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8937" w14:textId="5EB5E8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408,696.96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CD9D" w14:textId="4C2592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B036" w14:textId="1929A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FFF3" w14:textId="3CD058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028A" w14:textId="44DDDD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408,696.96 </w:t>
            </w:r>
          </w:p>
        </w:tc>
      </w:tr>
      <w:tr w:rsidR="00272BC6" w:rsidRPr="00272BC6" w14:paraId="1C069E1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48D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D9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F93F" w14:textId="58AACB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9B88" w14:textId="032F63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B2B4" w14:textId="728514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9ECD" w14:textId="55DFB4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D83D" w14:textId="27CAE6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272BC6" w:rsidRPr="00272BC6" w14:paraId="07EE921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B8A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3E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F9DC" w14:textId="784F49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5B84" w14:textId="678270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B4B1" w14:textId="794A71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A6B1" w14:textId="4969A3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BD92" w14:textId="744B4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272BC6" w:rsidRPr="00272BC6" w14:paraId="42CEBE7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810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4C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441B" w14:textId="46365E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230,640.00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7310" w14:textId="4D4453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5,346,260.00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E994" w14:textId="7663E9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B884" w14:textId="16A49F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AA6B" w14:textId="5D1FC7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5,576,900.00 </w:t>
            </w:r>
          </w:p>
        </w:tc>
      </w:tr>
      <w:tr w:rsidR="00272BC6" w:rsidRPr="00272BC6" w14:paraId="28C819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E7F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68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D2CC" w14:textId="74F5D0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B87F" w14:textId="0983CB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5,392,223.00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B88D" w14:textId="529CFF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FF3" w14:textId="23D1BD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4850" w14:textId="42397F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5,398,356.26 </w:t>
            </w:r>
          </w:p>
        </w:tc>
      </w:tr>
      <w:tr w:rsidR="00272BC6" w:rsidRPr="00272BC6" w14:paraId="4925FFC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727D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D2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B9E0" w14:textId="6F101F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133,570.14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A2B1" w14:textId="798CD5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4,815,700.00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0B62" w14:textId="34F0F1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9972" w14:textId="79A2F2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AB5D" w14:textId="5F31B1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4,949,270.14 </w:t>
            </w:r>
          </w:p>
        </w:tc>
      </w:tr>
      <w:tr w:rsidR="00272BC6" w:rsidRPr="00272BC6" w14:paraId="0130DA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4B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22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9562" w14:textId="4C8FFC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8E57" w14:textId="637B0C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15,529,050.00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9339" w14:textId="03D6B6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AFAD" w14:textId="7F3522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3BA5" w14:textId="44CCC5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15,757,189.88 </w:t>
            </w:r>
          </w:p>
        </w:tc>
      </w:tr>
      <w:tr w:rsidR="00272BC6" w:rsidRPr="00272BC6" w14:paraId="49A151A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A09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DA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07E1" w14:textId="34173E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339,133.20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3BAC" w14:textId="4142B4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26,869,000.00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15C4" w14:textId="445D0B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E9B4" w14:textId="3EC00D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6EA4" w14:textId="069202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27,208,133.20 </w:t>
            </w:r>
          </w:p>
        </w:tc>
      </w:tr>
      <w:tr w:rsidR="00272BC6" w:rsidRPr="00272BC6" w14:paraId="663FAC0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90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92C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4A2" w14:textId="13FEDC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23AD" w14:textId="25BAE9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821C" w14:textId="154F98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32FA" w14:textId="6580CD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939D" w14:textId="053EB7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272BC6" w:rsidRPr="00272BC6" w14:paraId="42AE8B8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65E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FC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978C" w14:textId="50B7FD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A74F" w14:textId="058A22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9,653,289.59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462F" w14:textId="2B3C32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53A9" w14:textId="797A4B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6B63" w14:textId="23BBC2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9,887,572.61 </w:t>
            </w:r>
          </w:p>
        </w:tc>
      </w:tr>
      <w:tr w:rsidR="00272BC6" w:rsidRPr="00272BC6" w14:paraId="0DF6E4E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ACC3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8F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2CB4" w14:textId="29803C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C2A4" w14:textId="3716B4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F1D5" w14:textId="05B4B1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5391" w14:textId="262F0B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BDB0" w14:textId="4BF2AD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2,522,628.90 </w:t>
            </w:r>
          </w:p>
        </w:tc>
      </w:tr>
      <w:tr w:rsidR="00272BC6" w:rsidRPr="00272BC6" w14:paraId="7C8C41D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73A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1B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E72B" w14:textId="4C0F8B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127E" w14:textId="2919F0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2,976,050.00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5C9E" w14:textId="753381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E227" w14:textId="29613E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DA52" w14:textId="7321FB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2,976,410.78 </w:t>
            </w:r>
          </w:p>
        </w:tc>
      </w:tr>
      <w:tr w:rsidR="00272BC6" w:rsidRPr="00272BC6" w14:paraId="44E1FC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6F5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72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B9F5" w14:textId="7A182F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B881" w14:textId="4CBD9E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1,641,474.06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182A" w14:textId="21E2E1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BAEE" w14:textId="282FC2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14BB" w14:textId="373287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1,914,355.18 </w:t>
            </w:r>
          </w:p>
        </w:tc>
      </w:tr>
      <w:tr w:rsidR="00272BC6" w:rsidRPr="00272BC6" w14:paraId="69682A4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B38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3E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D3D0" w14:textId="266A2E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A942" w14:textId="7825AE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0286" w14:textId="7D5847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9557" w14:textId="225282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E919" w14:textId="049841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272BC6" w:rsidRPr="00272BC6" w14:paraId="39C69A2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B3A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807D2" w14:textId="3609CB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5,387,774.45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0BC17" w14:textId="40DCA0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161,219,500.00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3C65B2" w14:textId="22E00A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62A80" w14:textId="4D8D17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6967F8" w14:textId="48F46B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166,607,274.45 </w:t>
            </w:r>
          </w:p>
        </w:tc>
      </w:tr>
      <w:tr w:rsidR="00272BC6" w:rsidRPr="00272BC6" w14:paraId="1CE9221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52DE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C4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E345" w14:textId="0CD3AA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86,048.00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74BB" w14:textId="4131BB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3,088,500.00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F948" w14:textId="54F0C3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26B6" w14:textId="787F9C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C8A4" w14:textId="53D71F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3,174,548.00 </w:t>
            </w:r>
          </w:p>
        </w:tc>
      </w:tr>
      <w:tr w:rsidR="00272BC6" w:rsidRPr="00272BC6" w14:paraId="49DB10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D45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44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30F5" w14:textId="4CB838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057D" w14:textId="29BEDF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2,253,500.00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681F" w14:textId="4C1B3B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53B0" w14:textId="566C6D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6C65" w14:textId="7A857B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2,425,596.00 </w:t>
            </w:r>
          </w:p>
        </w:tc>
      </w:tr>
      <w:tr w:rsidR="00272BC6" w:rsidRPr="00272BC6" w14:paraId="5C559A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450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FA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68D7" w14:textId="580B67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C258" w14:textId="1FE9AA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7352" w14:textId="421299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0A53" w14:textId="745E6E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DD74" w14:textId="60818D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14,088,000.00 </w:t>
            </w:r>
          </w:p>
        </w:tc>
      </w:tr>
      <w:tr w:rsidR="00272BC6" w:rsidRPr="00272BC6" w14:paraId="06426B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1E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80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F57A" w14:textId="1C3A36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812,385.00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434D" w14:textId="6B0AF5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9,281,000.00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D616" w14:textId="03E926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E028" w14:textId="17DA78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5A63" w14:textId="0C0C22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10,093,385.00 </w:t>
            </w:r>
          </w:p>
        </w:tc>
      </w:tr>
      <w:tr w:rsidR="00272BC6" w:rsidRPr="00272BC6" w14:paraId="19BDE2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BC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C9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7EC8" w14:textId="097EA5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907B" w14:textId="41B02D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23,382,000.00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7FA6" w14:textId="2DAC69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C94A" w14:textId="4C5615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E863" w14:textId="6FAA61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23,852,000.00 </w:t>
            </w:r>
          </w:p>
        </w:tc>
      </w:tr>
      <w:tr w:rsidR="00272BC6" w:rsidRPr="00272BC6" w14:paraId="72F8FB6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66F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CC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9A0E" w14:textId="053F54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C7EE" w14:textId="7CB303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25,276,250.00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BBD3" w14:textId="7B2A98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3045" w14:textId="0D3AB0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9DC3" w14:textId="29289D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25,715,260.00 </w:t>
            </w:r>
          </w:p>
        </w:tc>
      </w:tr>
      <w:tr w:rsidR="00272BC6" w:rsidRPr="00272BC6" w14:paraId="143BDA2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CB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77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8E7B" w14:textId="14C528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BB9C" w14:textId="034CF7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089E" w14:textId="7CDEC8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710A" w14:textId="144F36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45BA" w14:textId="282E5B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3,727,362.30 </w:t>
            </w:r>
          </w:p>
        </w:tc>
      </w:tr>
      <w:tr w:rsidR="00272BC6" w:rsidRPr="00272BC6" w14:paraId="2C232A0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94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DB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023B" w14:textId="24B599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78E8" w14:textId="074603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8,805,650.00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5691" w14:textId="33BC5A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BCF0" w14:textId="033262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08E0" w14:textId="7C754C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9,033,117.80 </w:t>
            </w:r>
          </w:p>
        </w:tc>
      </w:tr>
      <w:tr w:rsidR="00272BC6" w:rsidRPr="00272BC6" w14:paraId="3E01CD3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F3D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FE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8427" w14:textId="77A4E5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AAA7" w14:textId="518B17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1,610,500.00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A462" w14:textId="60DA35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103AA" w14:textId="20CCD6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7637" w14:textId="4F4C19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1,864,232.50 </w:t>
            </w:r>
          </w:p>
        </w:tc>
      </w:tr>
      <w:tr w:rsidR="00272BC6" w:rsidRPr="00272BC6" w14:paraId="6721E94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A51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68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4ACE" w14:textId="53FF50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8326" w14:textId="355CBC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24A1" w14:textId="29B30B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1226" w14:textId="4A79C7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1797" w14:textId="7147EB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7,427,291.40 </w:t>
            </w:r>
          </w:p>
        </w:tc>
      </w:tr>
      <w:tr w:rsidR="00272BC6" w:rsidRPr="00272BC6" w14:paraId="7481EC5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E1D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B5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3D00" w14:textId="39941D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F653" w14:textId="165AA4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B95F" w14:textId="21DFDE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6F05" w14:textId="50E88D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CFE3" w14:textId="3B6A10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1,173,858.00 </w:t>
            </w:r>
          </w:p>
        </w:tc>
      </w:tr>
      <w:tr w:rsidR="00272BC6" w:rsidRPr="00272BC6" w14:paraId="78BDAC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58E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CD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EE08" w14:textId="07B231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7A5A" w14:textId="24A588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1,670,700.00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B98B" w14:textId="069B14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E415" w14:textId="57B112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EA9E" w14:textId="08B60A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1,836,248.00 </w:t>
            </w:r>
          </w:p>
        </w:tc>
      </w:tr>
      <w:tr w:rsidR="00272BC6" w:rsidRPr="00272BC6" w14:paraId="35A98A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7FE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CB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7A73" w14:textId="3F39C6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5749" w14:textId="26F817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621,300.00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4643" w14:textId="37D805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61C5" w14:textId="0CFE86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7C7D" w14:textId="285943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701,850.00 </w:t>
            </w:r>
          </w:p>
        </w:tc>
      </w:tr>
      <w:tr w:rsidR="00272BC6" w:rsidRPr="00272BC6" w14:paraId="471330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4ED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13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7469" w14:textId="3ADF62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CB25" w14:textId="5EA9D0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0C9A" w14:textId="2B3EAB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58B2" w14:textId="07B987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7BF5" w14:textId="1ACC9B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2,180,937.25 </w:t>
            </w:r>
          </w:p>
        </w:tc>
      </w:tr>
      <w:tr w:rsidR="00272BC6" w:rsidRPr="00272BC6" w14:paraId="52D2B1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0C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D5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E277" w14:textId="461869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EBAF" w14:textId="30D0D7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7,500,600.00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8D8A" w14:textId="36F79A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AF5D" w14:textId="112868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6085" w14:textId="18DA14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7,754,553.00 </w:t>
            </w:r>
          </w:p>
        </w:tc>
      </w:tr>
      <w:tr w:rsidR="00272BC6" w:rsidRPr="00272BC6" w14:paraId="51C581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FE8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55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0C84" w14:textId="186FEA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CC43" w14:textId="02625B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1BE7" w14:textId="258D46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469B" w14:textId="2F7D45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9269" w14:textId="16D611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50,798,501.00 </w:t>
            </w:r>
          </w:p>
        </w:tc>
      </w:tr>
      <w:tr w:rsidR="00272BC6" w:rsidRPr="00272BC6" w14:paraId="456B985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8C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72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68CB" w14:textId="01DED2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10E1" w14:textId="1FA4F5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7F7A" w14:textId="1B33EB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28FC" w14:textId="6E35BF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F3831" w14:textId="13EC36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760,534.20 </w:t>
            </w:r>
          </w:p>
        </w:tc>
      </w:tr>
      <w:tr w:rsidR="00272BC6" w:rsidRPr="00272BC6" w14:paraId="493C78C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F90E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26C536" w14:textId="5E6447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1,341,526.25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8738B" w14:textId="3B1F80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68,759,354.00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58DEA" w14:textId="6E8182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20B7F" w14:textId="6A5FB1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FD789" w14:textId="1DCB84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70,100,880.25 </w:t>
            </w:r>
          </w:p>
        </w:tc>
      </w:tr>
      <w:tr w:rsidR="00272BC6" w:rsidRPr="00272BC6" w14:paraId="503C44A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2A4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76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904E" w14:textId="675A0E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E63C" w14:textId="208FDC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8D32" w14:textId="581A72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ABAD" w14:textId="321B45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F712" w14:textId="18EA53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7,133,565.00 </w:t>
            </w:r>
          </w:p>
        </w:tc>
      </w:tr>
      <w:tr w:rsidR="00272BC6" w:rsidRPr="00272BC6" w14:paraId="62D62FB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3AA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50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2131" w14:textId="46BF09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529B" w14:textId="7752AC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1,537,120.00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DD2C" w14:textId="3EDA82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CB29" w14:textId="1FCBAF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A622" w14:textId="75C205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1,645,354.00 </w:t>
            </w:r>
          </w:p>
        </w:tc>
      </w:tr>
      <w:tr w:rsidR="00272BC6" w:rsidRPr="00272BC6" w14:paraId="2D25FFB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105E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20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D7F4" w14:textId="7AA6F4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5887" w14:textId="18ECA0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DEF4" w14:textId="18DFA8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FB0E" w14:textId="55515D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F559" w14:textId="4DA453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2,926,273.00 </w:t>
            </w:r>
          </w:p>
        </w:tc>
      </w:tr>
      <w:tr w:rsidR="00272BC6" w:rsidRPr="00272BC6" w14:paraId="29585E8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00C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A4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CBA3" w14:textId="6F43D6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E816" w14:textId="0674B5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4C7D" w14:textId="317F6B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2F99" w14:textId="48BEA4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F8C4" w14:textId="3F65A9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</w:tr>
      <w:tr w:rsidR="00272BC6" w:rsidRPr="00272BC6" w14:paraId="612B44D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F4D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A1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3734" w14:textId="2902A3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A44D" w14:textId="0F3707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F2B7" w14:textId="6B7FFF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4108" w14:textId="30CC4C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8EA0" w14:textId="3F15EB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272BC6" w:rsidRPr="00272BC6" w14:paraId="3E48C49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E1A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5A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310E" w14:textId="542423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C2B2" w14:textId="61F7D9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13FB" w14:textId="06F882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84FC" w14:textId="324FEA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AAE" w14:textId="3AD0CB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20,211,142.00 </w:t>
            </w:r>
          </w:p>
        </w:tc>
      </w:tr>
      <w:tr w:rsidR="00272BC6" w:rsidRPr="00272BC6" w14:paraId="1C7E25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B15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43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2747" w14:textId="6CB13D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AA0E" w14:textId="059656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BE12" w14:textId="09DD1C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69FD" w14:textId="07B3E0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0A9F" w14:textId="017240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</w:tr>
      <w:tr w:rsidR="00272BC6" w:rsidRPr="00272BC6" w14:paraId="3110E71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E2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CC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2671" w14:textId="761FAB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67D6" w14:textId="75014E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4BB8" w14:textId="78B0C0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968E" w14:textId="242626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8EB8" w14:textId="589798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</w:tr>
      <w:tr w:rsidR="00272BC6" w:rsidRPr="00272BC6" w14:paraId="06B409C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EF4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A3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B67A" w14:textId="0936BE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30A7" w14:textId="2D29FC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3156" w14:textId="26AC97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92B3" w14:textId="5A6B4E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AA6E" w14:textId="03D360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7,108,234.00 </w:t>
            </w:r>
          </w:p>
        </w:tc>
      </w:tr>
      <w:tr w:rsidR="00272BC6" w:rsidRPr="00272BC6" w14:paraId="66CBD83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85D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3C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44AF" w14:textId="0805F9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E60F" w14:textId="622F83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AA49" w14:textId="46939D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88E61" w14:textId="294906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139A" w14:textId="40CC5B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</w:tr>
      <w:tr w:rsidR="00272BC6" w:rsidRPr="00272BC6" w14:paraId="44A3C9B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32E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0A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D4DA" w14:textId="1F97C6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98C6" w14:textId="4DB39B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3,947,460.00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94DB" w14:textId="4BEC97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86DA" w14:textId="6195BA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2540" w14:textId="6900B0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4,237,210.65 </w:t>
            </w:r>
          </w:p>
        </w:tc>
      </w:tr>
      <w:tr w:rsidR="00272BC6" w:rsidRPr="00272BC6" w14:paraId="5A4D1E1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7F28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09D77" w14:textId="7B8617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93,121,931.24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15CC26" w14:textId="34D5D5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8,653,336,007.87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5B98E" w14:textId="3788A9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22,804,054.80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EC37DA" w14:textId="6112FC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279A0A" w14:textId="4918CB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8,769,261,993.91 </w:t>
            </w:r>
          </w:p>
        </w:tc>
      </w:tr>
      <w:tr w:rsidR="00272BC6" w:rsidRPr="00272BC6" w14:paraId="118EFE5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741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D57A22" w14:textId="1FA0E9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46,822,870.50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B6217" w14:textId="4F0FC2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1,822,808,946.79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AECA05" w14:textId="643385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890E76" w14:textId="46DAEB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CAD3D" w14:textId="4CDEBB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1,871,164,817.29 </w:t>
            </w:r>
          </w:p>
        </w:tc>
      </w:tr>
      <w:tr w:rsidR="00272BC6" w:rsidRPr="00272BC6" w14:paraId="4E26710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08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8479" w14:textId="1D3782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E90E" w14:textId="76982C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355,609,437.96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826B" w14:textId="7AE3DD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35E3" w14:textId="7124DF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1857" w14:textId="34A365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355,720,437.96 </w:t>
            </w:r>
          </w:p>
        </w:tc>
      </w:tr>
      <w:tr w:rsidR="00272BC6" w:rsidRPr="00272BC6" w14:paraId="22B8A58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B3F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A5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0210" w14:textId="6C006D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E9EB" w14:textId="32E566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12,983,724.90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A880" w14:textId="0982DB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FEF5" w14:textId="307313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C948" w14:textId="75E018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14,771,474.90 </w:t>
            </w:r>
          </w:p>
        </w:tc>
      </w:tr>
      <w:tr w:rsidR="00272BC6" w:rsidRPr="00272BC6" w14:paraId="57063A5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3D6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79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5740" w14:textId="1AAC2E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2CE9" w14:textId="053014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9,918,392.13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A775" w14:textId="42BD25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11E9" w14:textId="5F8842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12C0" w14:textId="15DF1C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11,052,154.63 </w:t>
            </w:r>
          </w:p>
        </w:tc>
      </w:tr>
      <w:tr w:rsidR="00272BC6" w:rsidRPr="00272BC6" w14:paraId="36DFD3C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A3A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36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9ADD" w14:textId="5B649A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C6D6" w14:textId="64050A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58,187,201.15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BC35" w14:textId="1FEDAC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2D80" w14:textId="42B73B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3EE0" w14:textId="3211D2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59,199,876.15 </w:t>
            </w:r>
          </w:p>
        </w:tc>
      </w:tr>
      <w:tr w:rsidR="00272BC6" w:rsidRPr="00272BC6" w14:paraId="776E47B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BEF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FD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C9FD" w14:textId="488ECD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BD96" w14:textId="795631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13,762,657.17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09B1" w14:textId="634F68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C237" w14:textId="0C5248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7592" w14:textId="28AD74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18,137,487.17 </w:t>
            </w:r>
          </w:p>
        </w:tc>
      </w:tr>
      <w:tr w:rsidR="00272BC6" w:rsidRPr="00272BC6" w14:paraId="267318F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223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08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AF08" w14:textId="7520DA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1,659,475.00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A4B1" w14:textId="74E634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230,725,096.99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EB85" w14:textId="76FEAD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499F" w14:textId="4F55D7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3FB6" w14:textId="6C027C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232,384,571.99 </w:t>
            </w:r>
          </w:p>
        </w:tc>
      </w:tr>
      <w:tr w:rsidR="00272BC6" w:rsidRPr="00272BC6" w14:paraId="1ECAEDF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25C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3B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37E4" w14:textId="38A8AB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F268" w14:textId="16A55C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38,974,414.50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4BAF" w14:textId="6AFC03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527D" w14:textId="5F4D1D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5E0C" w14:textId="67E613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39,879,509.50 </w:t>
            </w:r>
          </w:p>
        </w:tc>
      </w:tr>
      <w:tr w:rsidR="00272BC6" w:rsidRPr="00272BC6" w14:paraId="6C8A793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8F7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149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5C0B" w14:textId="686AC0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F4C0" w14:textId="741696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73,493,446.01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5307" w14:textId="3CC4E0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EEF7" w14:textId="69308F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2EC7" w14:textId="29880D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74,387,321.01 </w:t>
            </w:r>
          </w:p>
        </w:tc>
      </w:tr>
      <w:tr w:rsidR="00272BC6" w:rsidRPr="00272BC6" w14:paraId="48E662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8DC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F9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7E7A" w14:textId="35E6E5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F233" w14:textId="48A992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16,952,210.71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6D4F" w14:textId="00F64D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6749" w14:textId="301F91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3176" w14:textId="621C82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18,739,960.71 </w:t>
            </w:r>
          </w:p>
        </w:tc>
      </w:tr>
      <w:tr w:rsidR="00272BC6" w:rsidRPr="00272BC6" w14:paraId="1DB1FB4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9DB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9B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F766" w14:textId="0E076B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F485" w14:textId="2B3217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20,333,112.02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84E2" w14:textId="071936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A186" w14:textId="7F31B8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8032" w14:textId="77E5B2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21,226,987.02 </w:t>
            </w:r>
          </w:p>
        </w:tc>
      </w:tr>
      <w:tr w:rsidR="00272BC6" w:rsidRPr="00272BC6" w14:paraId="498799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253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74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9EE7" w14:textId="6DD21D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EDB8" w14:textId="26D159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12,908,317.57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719A" w14:textId="0526E4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FEE8" w14:textId="33617B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DB94" w14:textId="7024A7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15,841,960.07 </w:t>
            </w:r>
          </w:p>
        </w:tc>
      </w:tr>
      <w:tr w:rsidR="00272BC6" w:rsidRPr="00272BC6" w14:paraId="1A3A015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F64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31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1D18" w14:textId="32C711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DE1C" w14:textId="5AA81B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15,549,766.88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C173" w14:textId="3C2D1D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1433" w14:textId="5A415C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9D93" w14:textId="24D657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18,883,516.88 </w:t>
            </w:r>
          </w:p>
        </w:tc>
      </w:tr>
      <w:tr w:rsidR="00272BC6" w:rsidRPr="00272BC6" w14:paraId="567D8C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176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83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2727" w14:textId="3643AA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EB2C" w14:textId="5C0BEB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36,035,555.87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AEF5" w14:textId="307FE6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BAC8" w14:textId="79B1EF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52F7" w14:textId="2EF045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36,952,992.87 </w:t>
            </w:r>
          </w:p>
        </w:tc>
      </w:tr>
      <w:tr w:rsidR="00272BC6" w:rsidRPr="00272BC6" w14:paraId="5B08E7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36D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1A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9709" w14:textId="710336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1A79" w14:textId="293863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15,753,451.46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6481" w14:textId="12B307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8CD2" w14:textId="3006FE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139A" w14:textId="356A19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16,647,326.46 </w:t>
            </w:r>
          </w:p>
        </w:tc>
      </w:tr>
      <w:tr w:rsidR="00272BC6" w:rsidRPr="00272BC6" w14:paraId="362B384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3B4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2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6E2B" w14:textId="5437C1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206B" w14:textId="56ECB8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238,319,864.82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7693" w14:textId="4645BD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A6BE" w14:textId="2DD8F7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897C" w14:textId="014D43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240,253,474.82 </w:t>
            </w:r>
          </w:p>
        </w:tc>
      </w:tr>
      <w:tr w:rsidR="00272BC6" w:rsidRPr="00272BC6" w14:paraId="05984E2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BF5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48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12FF" w14:textId="17060E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A2CA" w14:textId="4BAFDA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13,656,108.03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1DA3" w14:textId="791711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D29A" w14:textId="36B2E7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365D" w14:textId="639E7F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14,549,983.03 </w:t>
            </w:r>
          </w:p>
        </w:tc>
      </w:tr>
      <w:tr w:rsidR="00272BC6" w:rsidRPr="00272BC6" w14:paraId="721E909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AE2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6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BCCA" w14:textId="15F2EC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3EDC" w14:textId="62E18C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16,495,715.40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87F0" w14:textId="7C6DAE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F281" w14:textId="10A085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236B" w14:textId="7A3944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18,283,465.40 </w:t>
            </w:r>
          </w:p>
        </w:tc>
      </w:tr>
      <w:tr w:rsidR="00272BC6" w:rsidRPr="00272BC6" w14:paraId="62FB7C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CFC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24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336B" w14:textId="7841C5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6345" w14:textId="6F06D0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11,396,953.99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07EA" w14:textId="358D77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582C" w14:textId="54179B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8AB7" w14:textId="1D02E7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12,290,828.99 </w:t>
            </w:r>
          </w:p>
        </w:tc>
      </w:tr>
      <w:tr w:rsidR="00272BC6" w:rsidRPr="00272BC6" w14:paraId="243BA7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600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ADB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EBF2" w14:textId="70A3C2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9D45" w14:textId="5AD846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20,157,202.41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51BC" w14:textId="67C92F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61E6" w14:textId="0120B8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B521" w14:textId="3749DE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21,051,077.41 </w:t>
            </w:r>
          </w:p>
        </w:tc>
      </w:tr>
      <w:tr w:rsidR="00272BC6" w:rsidRPr="00272BC6" w14:paraId="444472B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C4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C4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8DD2" w14:textId="60979C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6357" w14:textId="684113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18,153,880.71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E755" w14:textId="293F15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82D8" w14:textId="77355D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5F93" w14:textId="11E24C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19,047,755.71 </w:t>
            </w:r>
          </w:p>
        </w:tc>
      </w:tr>
      <w:tr w:rsidR="00272BC6" w:rsidRPr="00272BC6" w14:paraId="4B395E6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37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DC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17F3" w14:textId="683EE5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588" w14:textId="542D38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10,685,612.30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BB59" w14:textId="7B9168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101D" w14:textId="555C60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E6A7" w14:textId="331760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11,579,487.30 </w:t>
            </w:r>
          </w:p>
        </w:tc>
      </w:tr>
      <w:tr w:rsidR="00272BC6" w:rsidRPr="00272BC6" w14:paraId="76607B7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73E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5C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98B2" w14:textId="61C1C5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B43D" w14:textId="2A6D47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25,614,807.20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5E40" w14:textId="36E86B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B223" w14:textId="61241E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D057" w14:textId="7F3AE6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26,508,682.20 </w:t>
            </w:r>
          </w:p>
        </w:tc>
      </w:tr>
      <w:tr w:rsidR="00272BC6" w:rsidRPr="00272BC6" w14:paraId="2BAD75E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D40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9D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F277" w14:textId="2A3266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BB17" w14:textId="766A31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19,323,737.83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1E7F" w14:textId="6DF7FD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D05E" w14:textId="6D4355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8503" w14:textId="4D7634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20,217,612.83 </w:t>
            </w:r>
          </w:p>
        </w:tc>
      </w:tr>
      <w:tr w:rsidR="00272BC6" w:rsidRPr="00272BC6" w14:paraId="1B02ACD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18A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6F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DC24" w14:textId="47CCCB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2BF8" w14:textId="1442F6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32,043,819.67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893C" w14:textId="2C1259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88DA" w14:textId="7DC86D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0D07" w14:textId="39FD77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33,599,162.17 </w:t>
            </w:r>
          </w:p>
        </w:tc>
      </w:tr>
      <w:tr w:rsidR="00272BC6" w:rsidRPr="00272BC6" w14:paraId="098F44A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EAC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7F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4D03" w14:textId="72274A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4A20" w14:textId="4233BE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12,973,208.94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85E3" w14:textId="303BEB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549E" w14:textId="510066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149B" w14:textId="52EB9F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14,263,083.94 </w:t>
            </w:r>
          </w:p>
        </w:tc>
      </w:tr>
      <w:tr w:rsidR="00272BC6" w:rsidRPr="00272BC6" w14:paraId="646DE0E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1D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45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2FA0" w14:textId="474C9D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7D3C9" w14:textId="6A3A2F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16,107,824.74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8484" w14:textId="0BC80C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5BCD" w14:textId="4EAC0E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8284" w14:textId="0E94B4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17,895,574.74 </w:t>
            </w:r>
          </w:p>
        </w:tc>
      </w:tr>
      <w:tr w:rsidR="00272BC6" w:rsidRPr="00272BC6" w14:paraId="1C62252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943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1E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6C5B" w14:textId="5B8DCD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A184" w14:textId="6127BC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30,761,847.23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4994" w14:textId="160E81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79B9" w14:textId="6CDBC9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8892" w14:textId="539E41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31,665,072.23 </w:t>
            </w:r>
          </w:p>
        </w:tc>
      </w:tr>
      <w:tr w:rsidR="00272BC6" w:rsidRPr="00272BC6" w14:paraId="05FC06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71F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75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1827" w14:textId="42858A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6C54" w14:textId="4986C0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17,835,630.13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BC63" w14:textId="018D30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1522" w14:textId="03929F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73DF" w14:textId="6D9385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18,729,505.13 </w:t>
            </w:r>
          </w:p>
        </w:tc>
      </w:tr>
      <w:tr w:rsidR="00272BC6" w:rsidRPr="00272BC6" w14:paraId="0CDAD6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65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6E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8875" w14:textId="2897B7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F679" w14:textId="1EE4B7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140,234,038.40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7777" w14:textId="35EFBD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05A5" w14:textId="03FC36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569F" w14:textId="2C95BD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141,150,353.40 </w:t>
            </w:r>
          </w:p>
        </w:tc>
      </w:tr>
      <w:tr w:rsidR="00272BC6" w:rsidRPr="00272BC6" w14:paraId="5777A4A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E28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3D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0D3C" w14:textId="22E89B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BCD8" w14:textId="5AA968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29,940,477.99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82A9" w14:textId="5DAF58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5F37" w14:textId="46D55C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A84E" w14:textId="69D6AF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31,728,227.99 </w:t>
            </w:r>
          </w:p>
        </w:tc>
      </w:tr>
      <w:tr w:rsidR="00272BC6" w:rsidRPr="00272BC6" w14:paraId="19DA62D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59A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B63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090" w14:textId="6C372F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8C95" w14:textId="07D082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14,381,089.22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E28E" w14:textId="25ADEF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44CA" w14:textId="69130F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E61B" w14:textId="24C102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16,262,339.22 </w:t>
            </w:r>
          </w:p>
        </w:tc>
      </w:tr>
      <w:tr w:rsidR="00272BC6" w:rsidRPr="00272BC6" w14:paraId="7F6E7D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F95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40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006C" w14:textId="365E49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988,123.00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1091" w14:textId="3381C2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188,089,961.69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62A5" w14:textId="70B85D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10DB" w14:textId="714EC2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9540" w14:textId="2E5F06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189,078,084.69 </w:t>
            </w:r>
          </w:p>
        </w:tc>
      </w:tr>
      <w:tr w:rsidR="00272BC6" w:rsidRPr="00272BC6" w14:paraId="416535C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272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6A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1505" w14:textId="3D3CE7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18F0" w14:textId="744FC0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20,740,525.70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8AE7" w14:textId="4B1865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7FFC" w14:textId="1254C9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A5A4" w14:textId="6CD5A0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21,793,988.70 </w:t>
            </w:r>
          </w:p>
        </w:tc>
      </w:tr>
      <w:tr w:rsidR="00272BC6" w:rsidRPr="00272BC6" w14:paraId="49F9E74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E06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7D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DDCB" w14:textId="65B86A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770F" w14:textId="18B8FE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8,699,281.29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4AC5" w14:textId="65A176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5CFB" w14:textId="33611A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D4DC" w14:textId="2CE91A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10,487,031.29 </w:t>
            </w:r>
          </w:p>
        </w:tc>
      </w:tr>
      <w:tr w:rsidR="00272BC6" w:rsidRPr="00272BC6" w14:paraId="217920D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B0D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04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79BF" w14:textId="22B692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7484" w14:textId="14DC32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26,010,573.78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EDE1" w14:textId="545E35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A962" w14:textId="31CAF7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C382" w14:textId="09792D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26,904,448.78 </w:t>
            </w:r>
          </w:p>
        </w:tc>
      </w:tr>
      <w:tr w:rsidR="00272BC6" w:rsidRPr="00272BC6" w14:paraId="43CAB756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D2D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DA7A0" w14:textId="59A0BA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10,754,809.00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46184" w14:textId="5B7E48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2,379,254,559.67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DEE39" w14:textId="748E3A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7,754,076.80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908C7" w14:textId="25835B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28EBD" w14:textId="7D6E0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2,397,763,445.47 </w:t>
            </w:r>
          </w:p>
        </w:tc>
      </w:tr>
      <w:tr w:rsidR="00272BC6" w:rsidRPr="00272BC6" w14:paraId="6804D025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2D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21AB" w14:textId="5A9076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59E3" w14:textId="7472FA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367,979,754.11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3F38" w14:textId="3CF369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7,754,076.80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1499" w14:textId="7CBAAC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EF78" w14:textId="0C7614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375,849,990.91 </w:t>
            </w:r>
          </w:p>
        </w:tc>
      </w:tr>
      <w:tr w:rsidR="00272BC6" w:rsidRPr="00272BC6" w14:paraId="0210C8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1F7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D8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B320" w14:textId="3763BD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AC17" w14:textId="35B2B7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30,262,678.55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C38D" w14:textId="208ACD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BFDB" w14:textId="43BF06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00E9" w14:textId="0E3A41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30,681,558.55 </w:t>
            </w:r>
          </w:p>
        </w:tc>
      </w:tr>
      <w:tr w:rsidR="00272BC6" w:rsidRPr="00272BC6" w14:paraId="7F2B635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5B4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CF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C28E" w14:textId="217598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9E93" w14:textId="351733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27,604,619.65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30D7" w14:textId="1EB173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6DDC" w14:textId="3EBAD3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9540" w14:textId="6BCA83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27,978,619.65 </w:t>
            </w:r>
          </w:p>
        </w:tc>
      </w:tr>
      <w:tr w:rsidR="00272BC6" w:rsidRPr="00272BC6" w14:paraId="4B095A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E9E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20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4F44" w14:textId="33C97A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B202" w14:textId="54DA04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225,836,139.01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AE8C" w14:textId="2C3767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1710" w14:textId="170699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915B" w14:textId="0199EA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226,419,116.01 </w:t>
            </w:r>
          </w:p>
        </w:tc>
      </w:tr>
      <w:tr w:rsidR="00272BC6" w:rsidRPr="00272BC6" w14:paraId="77F376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CFA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9F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440F" w14:textId="1A961B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FDB2" w14:textId="080090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133,483,415.40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4E15" w14:textId="3F47FD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7338" w14:textId="37A6F5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DAED" w14:textId="1F45C2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134,055,415.40 </w:t>
            </w:r>
          </w:p>
        </w:tc>
      </w:tr>
      <w:tr w:rsidR="00272BC6" w:rsidRPr="00272BC6" w14:paraId="2156051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07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5B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D6D5" w14:textId="7A1A5D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482D" w14:textId="4CA930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63,381,840.23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B2ED" w14:textId="3706E2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1101" w14:textId="7F05DF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2436" w14:textId="0B40A8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63,755,840.23 </w:t>
            </w:r>
          </w:p>
        </w:tc>
      </w:tr>
      <w:tr w:rsidR="00272BC6" w:rsidRPr="00272BC6" w14:paraId="109B6E1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DCB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25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2DE0" w14:textId="3823DD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1,150,380.00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A160" w14:textId="389F26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285,479,266.96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9FC9" w14:textId="21F571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DFE5" w14:textId="5E3A45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5A64" w14:textId="43C93A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286,629,646.96 </w:t>
            </w:r>
          </w:p>
        </w:tc>
      </w:tr>
      <w:tr w:rsidR="00272BC6" w:rsidRPr="00272BC6" w14:paraId="0BB6B5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B58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43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75E0" w14:textId="1DF995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609,444.00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264" w14:textId="18EC54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35,733,567.06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A573" w14:textId="4A2FC6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EE90" w14:textId="333DEE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F697" w14:textId="0DA3A8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36,343,011.06 </w:t>
            </w:r>
          </w:p>
        </w:tc>
      </w:tr>
      <w:tr w:rsidR="00272BC6" w:rsidRPr="00272BC6" w14:paraId="726C379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BB3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36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66A3" w14:textId="219F74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4240" w14:textId="49ED5E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14,181,924.73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4C38" w14:textId="4F5EE3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D84E" w14:textId="30B136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31FC" w14:textId="3D3BBA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14,555,924.73 </w:t>
            </w:r>
          </w:p>
        </w:tc>
      </w:tr>
      <w:tr w:rsidR="00272BC6" w:rsidRPr="00272BC6" w14:paraId="5EA1487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41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B9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3E0F" w14:textId="212DD4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9A7E" w14:textId="348652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232,345,716.23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B3D5" w14:textId="423921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C6F8" w14:textId="4F61BD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1B11" w14:textId="2B2B0E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232,775,816.23 </w:t>
            </w:r>
          </w:p>
        </w:tc>
      </w:tr>
      <w:tr w:rsidR="00272BC6" w:rsidRPr="00272BC6" w14:paraId="69087C0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70A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8C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4370" w14:textId="0F9095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FED8" w14:textId="54823C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221,006,518.51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9888" w14:textId="5D5045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812E" w14:textId="22475F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B181" w14:textId="1693B2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221,405,576.51 </w:t>
            </w:r>
          </w:p>
        </w:tc>
      </w:tr>
      <w:tr w:rsidR="00272BC6" w:rsidRPr="00272BC6" w14:paraId="5714581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F9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38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86EC" w14:textId="6D9783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1621" w14:textId="71E75E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30,744,655.24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B659" w14:textId="4FCC49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3D4F" w14:textId="63F18E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FCC1" w14:textId="7088A9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31,118,655.24 </w:t>
            </w:r>
          </w:p>
        </w:tc>
      </w:tr>
      <w:tr w:rsidR="00272BC6" w:rsidRPr="00272BC6" w14:paraId="3F1BC95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84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F4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25FD" w14:textId="6F04F9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5F50" w14:textId="31B8D0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33,898,690.82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320A" w14:textId="2B0FAF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8963" w14:textId="435DC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A069" w14:textId="2E07D8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34,272,690.82 </w:t>
            </w:r>
          </w:p>
        </w:tc>
      </w:tr>
      <w:tr w:rsidR="00272BC6" w:rsidRPr="00272BC6" w14:paraId="56406FB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F4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33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7DD6" w14:textId="09CC78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52A2" w14:textId="2F29BF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13,390,182.68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ED2A" w14:textId="06EB41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35B5" w14:textId="5C4019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253E" w14:textId="577E67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13,764,182.68 </w:t>
            </w:r>
          </w:p>
        </w:tc>
      </w:tr>
      <w:tr w:rsidR="00272BC6" w:rsidRPr="00272BC6" w14:paraId="1192E5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BE3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D6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88A0" w14:textId="4FABD0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62DB" w14:textId="1C9C26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18,367,246.05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216E" w14:textId="01F349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69CD" w14:textId="518B0A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CC72" w14:textId="60B21A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18,741,246.05 </w:t>
            </w:r>
          </w:p>
        </w:tc>
      </w:tr>
      <w:tr w:rsidR="00272BC6" w:rsidRPr="00272BC6" w14:paraId="1C426C2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22F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A9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6511" w14:textId="6A0D94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1DC3" w14:textId="34FC4D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17,924,466.82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7A7C" w14:textId="126DD8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CD2D" w14:textId="0D5ED2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00EE" w14:textId="240800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18,298,466.82 </w:t>
            </w:r>
          </w:p>
        </w:tc>
      </w:tr>
      <w:tr w:rsidR="00272BC6" w:rsidRPr="00272BC6" w14:paraId="006CE5F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B9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15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17D0" w14:textId="0EFF72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67C0" w14:textId="01F325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32,981,271.28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D46A" w14:textId="45174A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D208" w14:textId="55E910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497C" w14:textId="2EFD28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33,635,771.28 </w:t>
            </w:r>
          </w:p>
        </w:tc>
      </w:tr>
      <w:tr w:rsidR="00272BC6" w:rsidRPr="00272BC6" w14:paraId="09AE3A4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E75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B1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1CEF" w14:textId="2FCC7E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D158" w14:textId="718C3C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19,726,420.99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3F29C" w14:textId="16C407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3C1C" w14:textId="14570B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FE86" w14:textId="682DB0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20,100,420.99 </w:t>
            </w:r>
          </w:p>
        </w:tc>
      </w:tr>
      <w:tr w:rsidR="00272BC6" w:rsidRPr="00272BC6" w14:paraId="49857F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EFA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D3E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49F6" w14:textId="186B68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3982" w14:textId="04FB2F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58,632,333.50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1394" w14:textId="7E6D89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0F6C" w14:textId="6F1817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8957" w14:textId="1F49F1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59,006,333.50 </w:t>
            </w:r>
          </w:p>
        </w:tc>
      </w:tr>
      <w:tr w:rsidR="00272BC6" w:rsidRPr="00272BC6" w14:paraId="097392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035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F3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2785" w14:textId="000E7F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0909" w14:textId="679659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121,153,615.28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7171" w14:textId="45A0BC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C75B" w14:textId="18AC33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2B697" w14:textId="02B208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121,564,443.28 </w:t>
            </w:r>
          </w:p>
        </w:tc>
      </w:tr>
      <w:tr w:rsidR="00272BC6" w:rsidRPr="00272BC6" w14:paraId="2C86FE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8C1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74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B53B" w14:textId="2D9C61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456,038.00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8D8C" w14:textId="00D080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193,256,574.34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0A08" w14:textId="55D085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8409" w14:textId="08EADF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30C6" w14:textId="3202E2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193,712,612.34 </w:t>
            </w:r>
          </w:p>
        </w:tc>
      </w:tr>
      <w:tr w:rsidR="00272BC6" w:rsidRPr="00272BC6" w14:paraId="436DF6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49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49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0728" w14:textId="4EB56C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392,216.00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70DC" w14:textId="384D86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80,866,727.77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6DE7" w14:textId="1F4142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29C9" w14:textId="163035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C907" w14:textId="3ED502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81,258,943.77 </w:t>
            </w:r>
          </w:p>
        </w:tc>
      </w:tr>
      <w:tr w:rsidR="00272BC6" w:rsidRPr="00272BC6" w14:paraId="06B6C2C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82D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58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12E1" w14:textId="481B29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016E" w14:textId="3E2DCD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15,593,421.82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9B92" w14:textId="61701C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1C3D" w14:textId="1C6C34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0EB9" w14:textId="193066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15,967,421.82 </w:t>
            </w:r>
          </w:p>
        </w:tc>
      </w:tr>
      <w:tr w:rsidR="00272BC6" w:rsidRPr="00272BC6" w14:paraId="395073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F6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C3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322A" w14:textId="490977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5577" w14:textId="071E9E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105,423,512.64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98C3" w14:textId="328E27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4536" w14:textId="6C358D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F053" w14:textId="19B586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105,871,740.64 </w:t>
            </w:r>
          </w:p>
        </w:tc>
      </w:tr>
      <w:tr w:rsidR="00272BC6" w:rsidRPr="00272BC6" w14:paraId="0DDBCCE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AC2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8DED1" w14:textId="630E05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12,484,365.74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78CBEC" w14:textId="1F2EFD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1,948,609,726.43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3E7F7" w14:textId="7043AF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6B04B" w14:textId="434E6E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6049D" w14:textId="7951B1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1,961,094,092.17 </w:t>
            </w:r>
          </w:p>
        </w:tc>
      </w:tr>
      <w:tr w:rsidR="00272BC6" w:rsidRPr="00272BC6" w14:paraId="7D7293D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B4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3858" w14:textId="39F9F3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2E7B" w14:textId="55E62D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291,400,270.56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0C76" w14:textId="5E705B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D45F" w14:textId="095186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219E" w14:textId="0C5C07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291,622,270.56 </w:t>
            </w:r>
          </w:p>
        </w:tc>
      </w:tr>
      <w:tr w:rsidR="00272BC6" w:rsidRPr="00272BC6" w14:paraId="107C9D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CE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73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62B5" w14:textId="3E619C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A008" w14:textId="4E182C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14,637,850.00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2A6C" w14:textId="63DE7C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5111" w14:textId="363DC8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DF3A" w14:textId="25D01B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14,872,850.00 </w:t>
            </w:r>
          </w:p>
        </w:tc>
      </w:tr>
      <w:tr w:rsidR="00272BC6" w:rsidRPr="00272BC6" w14:paraId="63C105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9B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6B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BC00" w14:textId="74ECF9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29A8" w14:textId="0D7001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34,194,860.61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142E" w14:textId="3D3C1B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162E" w14:textId="6EB8A0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CB03" w14:textId="239E59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34,523,860.61 </w:t>
            </w:r>
          </w:p>
        </w:tc>
      </w:tr>
      <w:tr w:rsidR="00272BC6" w:rsidRPr="00272BC6" w14:paraId="1DE6F2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D85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89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571B" w14:textId="6A8251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605A" w14:textId="2C4DC8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177,896,717.42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49B7" w14:textId="22383B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D669" w14:textId="2C0345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4752" w14:textId="095083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178,604,927.42 </w:t>
            </w:r>
          </w:p>
        </w:tc>
      </w:tr>
      <w:tr w:rsidR="00272BC6" w:rsidRPr="00272BC6" w14:paraId="6B48FA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1A2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CD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1613" w14:textId="6CB7EF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9A1C" w14:textId="1648AC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131,567,588.87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21C1" w14:textId="63984B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AD13" w14:textId="724FC1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8214" w14:textId="5BD706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131,986,348.87 </w:t>
            </w:r>
          </w:p>
        </w:tc>
      </w:tr>
      <w:tr w:rsidR="00272BC6" w:rsidRPr="00272BC6" w14:paraId="10C1572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A2F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FC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5037" w14:textId="2C28DB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24FA" w14:textId="17549B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293,143,904.78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39E0" w14:textId="2866D6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22E9" w14:textId="7DDF7D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2AFF" w14:textId="27F1DF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293,768,034.78 </w:t>
            </w:r>
          </w:p>
        </w:tc>
      </w:tr>
      <w:tr w:rsidR="00272BC6" w:rsidRPr="00272BC6" w14:paraId="6E203A9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81B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05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948E" w14:textId="43ECC4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E32E" w14:textId="27CFD5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17,785,630.66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1C26" w14:textId="3CC7CD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BFBC" w14:textId="1D1776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78A5" w14:textId="08995D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18,485,014.66 </w:t>
            </w:r>
          </w:p>
        </w:tc>
      </w:tr>
      <w:tr w:rsidR="00272BC6" w:rsidRPr="00272BC6" w14:paraId="1D9BA9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8F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7B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5EA8" w14:textId="5B1080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180B" w14:textId="3EABAA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20,284,366.14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1CA2" w14:textId="406C31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6D5C" w14:textId="613FEE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3BA9" w14:textId="0720B4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20,519,366.14 </w:t>
            </w:r>
          </w:p>
        </w:tc>
      </w:tr>
      <w:tr w:rsidR="00272BC6" w:rsidRPr="00272BC6" w14:paraId="33A425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105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3F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BB72" w14:textId="29B959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DBC8" w14:textId="423E34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11,899,402.21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598D" w14:textId="439807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6485" w14:textId="19250F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042E" w14:textId="1408D1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12,134,402.21 </w:t>
            </w:r>
          </w:p>
        </w:tc>
      </w:tr>
      <w:tr w:rsidR="00272BC6" w:rsidRPr="00272BC6" w14:paraId="22333C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2D3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C7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2D47" w14:textId="1528BC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C3FA" w14:textId="70F848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14,850,169.82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16B9" w14:textId="2466C5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AD4C" w14:textId="0EF09C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FA46" w14:textId="50FBDA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15,085,169.82 </w:t>
            </w:r>
          </w:p>
        </w:tc>
      </w:tr>
      <w:tr w:rsidR="00272BC6" w:rsidRPr="00272BC6" w14:paraId="38B4E0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8D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B79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94D7" w14:textId="1B9CDB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ECA5" w14:textId="38DAA1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15,547,953.47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6F8D" w14:textId="31A147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467F" w14:textId="225CBB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3A8D" w14:textId="515119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15,782,953.47 </w:t>
            </w:r>
          </w:p>
        </w:tc>
      </w:tr>
      <w:tr w:rsidR="00272BC6" w:rsidRPr="00272BC6" w14:paraId="3599218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9D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81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9444" w14:textId="72C420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425,528.00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D836" w14:textId="0C9B1E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37,672,848.78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4B7B" w14:textId="1D883E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B2E8" w14:textId="68F000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46A0" w14:textId="338345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38,098,376.78 </w:t>
            </w:r>
          </w:p>
        </w:tc>
      </w:tr>
      <w:tr w:rsidR="00272BC6" w:rsidRPr="00272BC6" w14:paraId="214923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7CA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AF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4DEB" w14:textId="7C08C2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4001" w14:textId="659A27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14,089,317.23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6E83" w14:textId="2688E6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4CB7" w14:textId="121EA5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DA00" w14:textId="5E7E04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14,324,317.23 </w:t>
            </w:r>
          </w:p>
        </w:tc>
      </w:tr>
      <w:tr w:rsidR="00272BC6" w:rsidRPr="00272BC6" w14:paraId="19D9BD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FDF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F0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AFB0" w14:textId="5600D3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B04F" w14:textId="69BA9A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18,159,979.42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711B" w14:textId="577D16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11AC" w14:textId="6E150D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A683" w14:textId="58944F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18,394,979.42 </w:t>
            </w:r>
          </w:p>
        </w:tc>
      </w:tr>
      <w:tr w:rsidR="00272BC6" w:rsidRPr="00272BC6" w14:paraId="0AF620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3C6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CD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8B52" w14:textId="0284EB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9D50" w14:textId="5315FD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8,307,402.03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B558" w14:textId="6D68DD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BC0B" w14:textId="71DE35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F25A" w14:textId="3C6301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8,542,402.03 </w:t>
            </w:r>
          </w:p>
        </w:tc>
      </w:tr>
      <w:tr w:rsidR="00272BC6" w:rsidRPr="00272BC6" w14:paraId="55CCAE8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711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D8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8E46" w14:textId="15DD83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FF67" w14:textId="0B3B0F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18,160,485.73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E284" w14:textId="4E5A64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C276" w14:textId="715464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00E9" w14:textId="139F46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18,395,485.73 </w:t>
            </w:r>
          </w:p>
        </w:tc>
      </w:tr>
      <w:tr w:rsidR="00272BC6" w:rsidRPr="00272BC6" w14:paraId="20FC942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060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2C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A269C" w14:textId="31E991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1CD0" w14:textId="79D993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17,304,539.35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585D" w14:textId="1BBA43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CAD6" w14:textId="22EE62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78E4" w14:textId="1CCA88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17,552,229.35 </w:t>
            </w:r>
          </w:p>
        </w:tc>
      </w:tr>
      <w:tr w:rsidR="00272BC6" w:rsidRPr="00272BC6" w14:paraId="629F3B8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B6C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A6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2BD4" w14:textId="7F68C9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1B3D" w14:textId="3DBB3A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35,083,417.44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C7FC" w14:textId="19A78C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CA56" w14:textId="79BED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437F" w14:textId="4819FF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35,318,417.44 </w:t>
            </w:r>
          </w:p>
        </w:tc>
      </w:tr>
      <w:tr w:rsidR="00272BC6" w:rsidRPr="00272BC6" w14:paraId="1D810EC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B5C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EB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4F61" w14:textId="52C6D2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0359" w14:textId="43A191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17,243,459.70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2F44" w14:textId="7DABA2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3DE9" w14:textId="3B9A85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F74D" w14:textId="0B19F2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17,659,669.70 </w:t>
            </w:r>
          </w:p>
        </w:tc>
      </w:tr>
      <w:tr w:rsidR="00272BC6" w:rsidRPr="00272BC6" w14:paraId="3F4CCF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BE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C9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4A59" w14:textId="5F2E7B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FD6A" w14:textId="4CD4AC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29,646,343.58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B77B" w14:textId="6138B7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B9B5" w14:textId="59B0B5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2E4C" w14:textId="0EDBDB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29,975,343.58 </w:t>
            </w:r>
          </w:p>
        </w:tc>
      </w:tr>
      <w:tr w:rsidR="00272BC6" w:rsidRPr="00272BC6" w14:paraId="24DC7B1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DB2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A3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2352" w14:textId="48F45B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B799" w14:textId="49B4BA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12,796,737.60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509F" w14:textId="1AF5D6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B26F" w14:textId="2843D2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41E4" w14:textId="0CE85D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13,031,737.60 </w:t>
            </w:r>
          </w:p>
        </w:tc>
      </w:tr>
      <w:tr w:rsidR="00272BC6" w:rsidRPr="00272BC6" w14:paraId="2BC56F1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A91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B5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A385" w14:textId="383656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D545" w14:textId="05F7BD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13,007,984.50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9B7F" w14:textId="5C4BDA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3267" w14:textId="1274E3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5609" w14:textId="340D9D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13,643,166.50 </w:t>
            </w:r>
          </w:p>
        </w:tc>
      </w:tr>
      <w:tr w:rsidR="00272BC6" w:rsidRPr="00272BC6" w14:paraId="1FDCB4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374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DC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DBAD" w14:textId="697E0D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3398" w14:textId="47CB32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15,076,086.53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2D74" w14:textId="367DAD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8FE2" w14:textId="715B0A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BBA5" w14:textId="03A581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16,143,506.53 </w:t>
            </w:r>
          </w:p>
        </w:tc>
      </w:tr>
      <w:tr w:rsidR="00272BC6" w:rsidRPr="00272BC6" w14:paraId="426A00B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6AE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6B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7A2F" w14:textId="327CCB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38F1" w14:textId="362A8F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9,341,111.18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1D31" w14:textId="01116B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97A6" w14:textId="5039B6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93A6" w14:textId="63EEE2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9,757,321.18 </w:t>
            </w:r>
          </w:p>
        </w:tc>
      </w:tr>
      <w:tr w:rsidR="00272BC6" w:rsidRPr="00272BC6" w14:paraId="0A7D263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9B2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C9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2187" w14:textId="32B1D8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FA22" w14:textId="5FC483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115,200,688.38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A5C5" w14:textId="4D64D6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51FA" w14:textId="20585D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D4BD" w14:textId="3BA74A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115,641,888.38 </w:t>
            </w:r>
          </w:p>
        </w:tc>
      </w:tr>
      <w:tr w:rsidR="00272BC6" w:rsidRPr="00272BC6" w14:paraId="7A7B4A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A1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765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4253" w14:textId="0D5E62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25A5" w14:textId="08197F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125,395,699.26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0D53" w14:textId="20473F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EF96" w14:textId="365D1F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1D70" w14:textId="23B036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126,584,019.26 </w:t>
            </w:r>
          </w:p>
        </w:tc>
      </w:tr>
      <w:tr w:rsidR="00272BC6" w:rsidRPr="00272BC6" w14:paraId="6CF6B7E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A96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CD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4509" w14:textId="5989E0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5558" w14:textId="67CF9B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62,228,850.35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DA1A" w14:textId="1AB904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D5B7" w14:textId="055D17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7EC9" w14:textId="5D2362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62,613,950.35 </w:t>
            </w:r>
          </w:p>
        </w:tc>
      </w:tr>
      <w:tr w:rsidR="00272BC6" w:rsidRPr="00272BC6" w14:paraId="2B4613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ABD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10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D6F6" w14:textId="791CD8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7210" w14:textId="1C3764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15,909,483.67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895D" w14:textId="7CDD28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5514" w14:textId="639CCD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C51F" w14:textId="2D8D4E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16,144,483.67 </w:t>
            </w:r>
          </w:p>
        </w:tc>
      </w:tr>
      <w:tr w:rsidR="00272BC6" w:rsidRPr="00272BC6" w14:paraId="53FC615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5E1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00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F53B" w14:textId="666429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C59A" w14:textId="006019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331,530,313.95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97D0" w14:textId="75F1BF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CB7E" w14:textId="2D2CED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A52C" w14:textId="6677BC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332,139,545.69 </w:t>
            </w:r>
          </w:p>
        </w:tc>
      </w:tr>
      <w:tr w:rsidR="00272BC6" w:rsidRPr="00272BC6" w14:paraId="343FFF2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E8CE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A5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BDAB" w14:textId="102F75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266,790.00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0E94" w14:textId="1FDA1A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13,963,569.96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2C38" w14:textId="7E69ED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1BC3" w14:textId="7274AB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E340" w14:textId="120047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14,230,359.96 </w:t>
            </w:r>
          </w:p>
        </w:tc>
      </w:tr>
      <w:tr w:rsidR="00272BC6" w:rsidRPr="00272BC6" w14:paraId="49E249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E4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08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A465" w14:textId="29D48E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7854" w14:textId="0AE393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15,282,693.25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0CD9" w14:textId="5173ED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D4F8" w14:textId="61C395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1CC3" w14:textId="179086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15,517,693.25 </w:t>
            </w:r>
          </w:p>
        </w:tc>
      </w:tr>
      <w:tr w:rsidR="00272BC6" w:rsidRPr="00272BC6" w14:paraId="456042E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F18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89D86" w14:textId="1DBDE1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16,737,446.00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0229A" w14:textId="313FB7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1,055,861,805.32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C50C7" w14:textId="545E6D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3AC2B" w14:textId="71C389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A0F191" w14:textId="097826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1,072,599,251.32 </w:t>
            </w:r>
          </w:p>
        </w:tc>
      </w:tr>
      <w:tr w:rsidR="00272BC6" w:rsidRPr="00272BC6" w14:paraId="5EDAFD4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9D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AC9E" w14:textId="01FD34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2781" w14:textId="5D80B7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130,204,446.96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4E50" w14:textId="10BDAC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33B9" w14:textId="4118A8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FFD2" w14:textId="10A9F1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130,768,446.96 </w:t>
            </w:r>
          </w:p>
        </w:tc>
      </w:tr>
      <w:tr w:rsidR="00272BC6" w:rsidRPr="00272BC6" w14:paraId="723A758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416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76D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F359" w14:textId="2E96D9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68EF" w14:textId="23632B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10,158,419.50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7D3A" w14:textId="652E34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0332" w14:textId="733235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68F0" w14:textId="1DC4E5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10,440,419.50 </w:t>
            </w:r>
          </w:p>
        </w:tc>
      </w:tr>
      <w:tr w:rsidR="00272BC6" w:rsidRPr="00272BC6" w14:paraId="26706DA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F0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CE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30A0" w14:textId="73F110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4981" w14:textId="48D03A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9,664,114.22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E2D5" w14:textId="5E07A9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E0B8" w14:textId="5F7E34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B66D" w14:textId="359131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10,839,114.22 </w:t>
            </w:r>
          </w:p>
        </w:tc>
      </w:tr>
      <w:tr w:rsidR="00272BC6" w:rsidRPr="00272BC6" w14:paraId="0F0BA1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9B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C6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5FDE" w14:textId="686244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A802" w14:textId="65F5F7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32,016,820.74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1ED5" w14:textId="64F3D4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9D82" w14:textId="07BDD4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4CAE" w14:textId="784B1B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32,251,820.74 </w:t>
            </w:r>
          </w:p>
        </w:tc>
      </w:tr>
      <w:tr w:rsidR="00272BC6" w:rsidRPr="00272BC6" w14:paraId="4D7016F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CFE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AA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C3F7" w14:textId="5B8424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E472" w14:textId="542F56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14,033,596.30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E438" w14:textId="3D8D57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2D75" w14:textId="6F65AF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B7AC" w14:textId="38D824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14,033,596.30 </w:t>
            </w:r>
          </w:p>
        </w:tc>
      </w:tr>
      <w:tr w:rsidR="00272BC6" w:rsidRPr="00272BC6" w14:paraId="4DAA9A1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E58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4A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7077" w14:textId="682B88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83735" w14:textId="6EE9F0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6,961,240.95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CC04" w14:textId="1D3AB0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6E2D" w14:textId="165DC8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7B14" w14:textId="06F25A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7,805,240.95 </w:t>
            </w:r>
          </w:p>
        </w:tc>
      </w:tr>
      <w:tr w:rsidR="00272BC6" w:rsidRPr="00272BC6" w14:paraId="732868D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626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9ED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2CCB" w14:textId="0FE9C9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324C" w14:textId="1F25F4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26,111,325.04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838C" w14:textId="42C70B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6819" w14:textId="2F94E5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89E9" w14:textId="15FAB0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26,581,325.04 </w:t>
            </w:r>
          </w:p>
        </w:tc>
      </w:tr>
      <w:tr w:rsidR="00272BC6" w:rsidRPr="00272BC6" w14:paraId="1EFE3E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9E4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B3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F26F" w14:textId="08A100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57B5" w14:textId="6688E4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38,469,010.06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63E3" w14:textId="295043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F0F5" w14:textId="062C6B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934A" w14:textId="5537AD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38,939,010.06 </w:t>
            </w:r>
          </w:p>
        </w:tc>
      </w:tr>
      <w:tr w:rsidR="00272BC6" w:rsidRPr="00272BC6" w14:paraId="3B7E1D1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AF0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44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26B1" w14:textId="0A34EA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35DB" w14:textId="2B075F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34,967,920.51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FF6E" w14:textId="6D7D8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F5E1" w14:textId="554FA5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8730" w14:textId="20D0B8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35,437,920.51 </w:t>
            </w:r>
          </w:p>
        </w:tc>
      </w:tr>
      <w:tr w:rsidR="00272BC6" w:rsidRPr="00272BC6" w14:paraId="3BD75EA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F07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9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A570" w14:textId="65219C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9E3D" w14:textId="3DCFBC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18,978,887.31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8138" w14:textId="70D51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333C" w14:textId="70BF39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623B" w14:textId="261DCE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18,978,887.31 </w:t>
            </w:r>
          </w:p>
        </w:tc>
      </w:tr>
      <w:tr w:rsidR="00272BC6" w:rsidRPr="00272BC6" w14:paraId="718D12F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80C9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76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887B" w14:textId="5CF805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D16A" w14:textId="4DA180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20,305,450.20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BD95" w14:textId="6C34BA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AA29" w14:textId="69EE3D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C719" w14:textId="3665DD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20,775,450.20 </w:t>
            </w:r>
          </w:p>
        </w:tc>
      </w:tr>
      <w:tr w:rsidR="00272BC6" w:rsidRPr="00272BC6" w14:paraId="130C41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DD5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60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1850" w14:textId="6B5320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6431" w14:textId="0F1598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21,745,199.81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8F4E" w14:textId="1F7D5B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8590" w14:textId="15D98D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EA9C" w14:textId="20619E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21,762,227.81 </w:t>
            </w:r>
          </w:p>
        </w:tc>
      </w:tr>
      <w:tr w:rsidR="00272BC6" w:rsidRPr="00272BC6" w14:paraId="7C76FC4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35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8E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50C2" w14:textId="299C1A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FD38" w14:textId="31473C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11,836,351.50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FF8C" w14:textId="722D6D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6C28" w14:textId="02AF3C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339E" w14:textId="6CE174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11,836,351.50 </w:t>
            </w:r>
          </w:p>
        </w:tc>
      </w:tr>
      <w:tr w:rsidR="00272BC6" w:rsidRPr="00272BC6" w14:paraId="669B848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82A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7E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B9F2" w14:textId="5F5A05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4497" w14:textId="69F41B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20,558,417.77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403A" w14:textId="6C885A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D613" w14:textId="0BED2E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6B0B" w14:textId="30DEBC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21,028,417.77 </w:t>
            </w:r>
          </w:p>
        </w:tc>
      </w:tr>
      <w:tr w:rsidR="00272BC6" w:rsidRPr="00272BC6" w14:paraId="4EB388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E8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0FE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DBC5" w14:textId="3727B2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0003" w14:textId="1E8384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16,947,579.42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5F11" w14:textId="462EFB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B8D7" w14:textId="5B9645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C348" w14:textId="4F4872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16,947,579.42 </w:t>
            </w:r>
          </w:p>
        </w:tc>
      </w:tr>
      <w:tr w:rsidR="00272BC6" w:rsidRPr="00272BC6" w14:paraId="29C50E0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4B2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42F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730B" w14:textId="53130B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615C" w14:textId="4B28ED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7,174,401.18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E3A3" w14:textId="1FF876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9631" w14:textId="1E03A8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B590" w14:textId="3C42D0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8,018,401.18 </w:t>
            </w:r>
          </w:p>
        </w:tc>
      </w:tr>
      <w:tr w:rsidR="00272BC6" w:rsidRPr="00272BC6" w14:paraId="200091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36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89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25BD" w14:textId="3DD0F8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A571" w14:textId="32D132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44,552,236.35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BB77" w14:textId="7F256B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8ECA" w14:textId="2CED06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8498" w14:textId="0C1B88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44,552,236.35 </w:t>
            </w:r>
          </w:p>
        </w:tc>
      </w:tr>
      <w:tr w:rsidR="00272BC6" w:rsidRPr="00272BC6" w14:paraId="6D3F48F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78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FA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32C1" w14:textId="2229F3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F87F" w14:textId="44CD73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21,236,007.58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E691" w14:textId="1AA0B4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3EFD" w14:textId="168525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427B" w14:textId="6680C9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21,518,007.58 </w:t>
            </w:r>
          </w:p>
        </w:tc>
      </w:tr>
      <w:tr w:rsidR="00272BC6" w:rsidRPr="00272BC6" w14:paraId="52E44A6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F15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28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736C" w14:textId="6B40AE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9BED" w14:textId="270B8A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101,855,841.65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9497" w14:textId="6B2A30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0EE4" w14:textId="65C4C1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16D9" w14:textId="2D8FDC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102,409,991.65 </w:t>
            </w:r>
          </w:p>
        </w:tc>
      </w:tr>
      <w:tr w:rsidR="00272BC6" w:rsidRPr="00272BC6" w14:paraId="111E05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6A3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5E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F97C" w14:textId="64CE13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E515" w14:textId="7F3FCC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9,277,604.00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4B11" w14:textId="388F2E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AF5B" w14:textId="6E731A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0A5A" w14:textId="09D6AB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9,747,604.00 </w:t>
            </w:r>
          </w:p>
        </w:tc>
      </w:tr>
      <w:tr w:rsidR="00272BC6" w:rsidRPr="00272BC6" w14:paraId="40BCD69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3A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0C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922B" w14:textId="6C33C3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3DDB" w14:textId="637EA2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44,987,890.33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EA46" w14:textId="043DDD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790B" w14:textId="073DB6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46FB" w14:textId="177E51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45,457,890.33 </w:t>
            </w:r>
          </w:p>
        </w:tc>
      </w:tr>
      <w:tr w:rsidR="00272BC6" w:rsidRPr="00272BC6" w14:paraId="07C175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21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F7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ED95" w14:textId="40EDEA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5475" w14:textId="666D48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24,906,503.02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D27D" w14:textId="230203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1E9" w14:textId="359E94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C2F1" w14:textId="15CE46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25,376,503.02 </w:t>
            </w:r>
          </w:p>
        </w:tc>
      </w:tr>
      <w:tr w:rsidR="00272BC6" w:rsidRPr="00272BC6" w14:paraId="5408731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D3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92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1DE8" w14:textId="771774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3A00" w14:textId="0ECF00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13,999,273.24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016B" w14:textId="31D198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439C" w14:textId="272C3A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7411" w14:textId="06B0D0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14,380,225.24 </w:t>
            </w:r>
          </w:p>
        </w:tc>
      </w:tr>
      <w:tr w:rsidR="00272BC6" w:rsidRPr="00272BC6" w14:paraId="543642C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3F4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4B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2FA2" w14:textId="02D6C6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290D" w14:textId="79FF67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35,945,094.35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B156" w14:textId="1EA680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1360" w14:textId="5281E4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0944" w14:textId="469495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36,415,094.35 </w:t>
            </w:r>
          </w:p>
        </w:tc>
      </w:tr>
      <w:tr w:rsidR="00272BC6" w:rsidRPr="00272BC6" w14:paraId="05F5591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DAF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4E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1ED8" w14:textId="1B5806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2774" w14:textId="2394F1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8,897,609.69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3E97" w14:textId="07A9BA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228F" w14:textId="671CA3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C3F5" w14:textId="1DB359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9,600,609.69 </w:t>
            </w:r>
          </w:p>
        </w:tc>
      </w:tr>
      <w:tr w:rsidR="00272BC6" w:rsidRPr="00272BC6" w14:paraId="3F9A7D1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754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11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4ADF" w14:textId="7DBAA5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4259" w14:textId="43E0F2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13,015,641.17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3B67" w14:textId="4DB3A7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CDEA" w14:textId="78F7B9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4846" w14:textId="5F5EB8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13,718,641.17 </w:t>
            </w:r>
          </w:p>
        </w:tc>
      </w:tr>
      <w:tr w:rsidR="00272BC6" w:rsidRPr="00272BC6" w14:paraId="6F01F1E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FA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38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D356" w14:textId="3E9AE7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8259" w14:textId="52A995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8,858,863.44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9720" w14:textId="239B81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9E22" w14:textId="1310C4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73C3" w14:textId="1D0AA6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9,798,863.44 </w:t>
            </w:r>
          </w:p>
        </w:tc>
      </w:tr>
      <w:tr w:rsidR="00272BC6" w:rsidRPr="00272BC6" w14:paraId="5BC7858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30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46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5126" w14:textId="0A77B3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CE3C" w14:textId="31F64D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10,112,677.64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ACD1" w14:textId="3EA9A5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7950" w14:textId="2AFD89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AC0F" w14:textId="51E576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10,488,677.64 </w:t>
            </w:r>
          </w:p>
        </w:tc>
      </w:tr>
      <w:tr w:rsidR="00272BC6" w:rsidRPr="00272BC6" w14:paraId="6D0B96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64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88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2B77" w14:textId="007F34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4AA0" w14:textId="0FFC91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6,609,690.61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A029" w14:textId="47FCC8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1C09" w14:textId="4AA063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689F" w14:textId="009F7D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6,844,690.61 </w:t>
            </w:r>
          </w:p>
        </w:tc>
      </w:tr>
      <w:tr w:rsidR="00272BC6" w:rsidRPr="00272BC6" w14:paraId="2D5B18A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6D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C0E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107F" w14:textId="6CA58B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A2EB" w14:textId="125317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13,952,627.77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CF7D" w14:textId="4B6D4D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B825" w14:textId="68DA2F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0CBA" w14:textId="604201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14,655,627.77 </w:t>
            </w:r>
          </w:p>
        </w:tc>
      </w:tr>
      <w:tr w:rsidR="00272BC6" w:rsidRPr="00272BC6" w14:paraId="2DB7EAF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CC9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AA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2760" w14:textId="2358A9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354A" w14:textId="2EC29C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8,102,232.23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2031" w14:textId="015359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C1A5" w14:textId="6499CA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9DDC" w14:textId="4877D3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9,042,232.23 </w:t>
            </w:r>
          </w:p>
        </w:tc>
      </w:tr>
      <w:tr w:rsidR="00272BC6" w:rsidRPr="00272BC6" w14:paraId="2F1361D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E90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64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85D" w14:textId="6E3D4D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582F" w14:textId="3390BC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18,692,171.79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D918" w14:textId="1A0097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3548" w14:textId="51CB36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AA2D" w14:textId="07690B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18,927,171.79 </w:t>
            </w:r>
          </w:p>
        </w:tc>
      </w:tr>
      <w:tr w:rsidR="00272BC6" w:rsidRPr="00272BC6" w14:paraId="40D4AB3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CFE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75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6FA8" w14:textId="2D5F03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3DC6" w14:textId="32D197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14,967,001.00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A22E" w14:textId="35E253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A2F6" w14:textId="1437D2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B911" w14:textId="096EB7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14,967,001.00 </w:t>
            </w:r>
          </w:p>
        </w:tc>
      </w:tr>
      <w:tr w:rsidR="00272BC6" w:rsidRPr="00272BC6" w14:paraId="5702218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89E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6F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785D" w14:textId="5819D2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80F1" w14:textId="6F158B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13,092,389.61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92BE" w14:textId="779630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39CD" w14:textId="448DAE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187C" w14:textId="5351A0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13,092,389.61 </w:t>
            </w:r>
          </w:p>
        </w:tc>
      </w:tr>
      <w:tr w:rsidR="00272BC6" w:rsidRPr="00272BC6" w14:paraId="1670F1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E31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6C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25E8" w14:textId="5C7A6F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EED3" w14:textId="56373A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8,926,202.11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01AD" w14:textId="5F9FA0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086A" w14:textId="6E3FA1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97AF" w14:textId="125CA0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9,161,202.11 </w:t>
            </w:r>
          </w:p>
        </w:tc>
      </w:tr>
      <w:tr w:rsidR="00272BC6" w:rsidRPr="00272BC6" w14:paraId="6DC56F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64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07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1D00" w14:textId="752908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4C37" w14:textId="728442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27,525,190.80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8AD6" w14:textId="4E5E1F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F7B5" w14:textId="68912D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8491" w14:textId="3F37DC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28,136,190.80 </w:t>
            </w:r>
          </w:p>
        </w:tc>
      </w:tr>
      <w:tr w:rsidR="00272BC6" w:rsidRPr="00272BC6" w14:paraId="2C98C62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E6C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B0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A344" w14:textId="244652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3EB1" w14:textId="757937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15,442,919.20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0816" w14:textId="50C0F9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EA2A" w14:textId="4F7460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339B" w14:textId="4D509C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16,044,519.20 </w:t>
            </w:r>
          </w:p>
        </w:tc>
      </w:tr>
      <w:tr w:rsidR="00272BC6" w:rsidRPr="00272BC6" w14:paraId="327D543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C8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B8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319E" w14:textId="0BFC25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78BA" w14:textId="339989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29,407,028.29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5ADA" w14:textId="246765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2A86" w14:textId="7B9C9A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1B8B" w14:textId="317AA0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29,654,744.29 </w:t>
            </w:r>
          </w:p>
        </w:tc>
      </w:tr>
      <w:tr w:rsidR="00272BC6" w:rsidRPr="00272BC6" w14:paraId="4E64588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404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5D6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DEF7" w14:textId="1A90F5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5E56" w14:textId="346BB7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20,951,146.06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A9FD" w14:textId="2B7DF3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10D9" w14:textId="1042E3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28AE" w14:textId="465BAA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20,951,146.06 </w:t>
            </w:r>
          </w:p>
        </w:tc>
      </w:tr>
      <w:tr w:rsidR="00272BC6" w:rsidRPr="00272BC6" w14:paraId="003E58B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416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74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4F9B" w14:textId="34C39D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91BA" w14:textId="689397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73,509,410.00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4AAF" w14:textId="3E45FA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0BAA" w14:textId="00949F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6EC5" w14:textId="212D15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73,744,410.00 </w:t>
            </w:r>
          </w:p>
        </w:tc>
      </w:tr>
      <w:tr w:rsidR="00272BC6" w:rsidRPr="00272BC6" w14:paraId="3B862AE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DC2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96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FE03" w14:textId="45D589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ABE2" w14:textId="3064EE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35,179,124.27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BB11" w14:textId="667DB7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5D55" w14:textId="389F63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5DC5" w14:textId="438E34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35,414,124.27 </w:t>
            </w:r>
          </w:p>
        </w:tc>
      </w:tr>
      <w:tr w:rsidR="00272BC6" w:rsidRPr="00272BC6" w14:paraId="4C27BB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7CB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B4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9C52" w14:textId="705D56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E6C9" w14:textId="708739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11,726,247.65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7434" w14:textId="4A0DA1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B7CC" w14:textId="061391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DCD5" w14:textId="322E9C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12,055,247.65 </w:t>
            </w:r>
          </w:p>
        </w:tc>
      </w:tr>
      <w:tr w:rsidR="00272BC6" w:rsidRPr="00272BC6" w14:paraId="4D35DC8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D71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54AF9" w14:textId="655893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6,322,440.00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A0D45" w14:textId="2DAC30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1,446,800,969.66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BEF99" w14:textId="042CDB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3B120" w14:textId="67489F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EEBB8" w14:textId="493F43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1,466,640,387.66 </w:t>
            </w:r>
          </w:p>
        </w:tc>
      </w:tr>
      <w:tr w:rsidR="00272BC6" w:rsidRPr="00272BC6" w14:paraId="23C82FA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8D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BDAC" w14:textId="63B5F7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6BA4" w14:textId="5EE78F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313,981,713.29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4BAB" w14:textId="14809E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B7D6" w14:textId="62B1E9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68FA" w14:textId="42D321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327,609,691.29 </w:t>
            </w:r>
          </w:p>
        </w:tc>
      </w:tr>
      <w:tr w:rsidR="00272BC6" w:rsidRPr="00272BC6" w14:paraId="04D972A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955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AB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ED27" w14:textId="0D1240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B5F5" w14:textId="686083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30,971,662.87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21BD" w14:textId="5C4EF2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302B" w14:textId="66B2BF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B9A9" w14:textId="62A210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30,997,842.87 </w:t>
            </w:r>
          </w:p>
        </w:tc>
      </w:tr>
      <w:tr w:rsidR="00272BC6" w:rsidRPr="00272BC6" w14:paraId="44BBD2F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ED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4F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76F6" w14:textId="7F17FC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219,780.00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83F9" w14:textId="3FBF43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403,480,426.16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C1AB" w14:textId="58D4B0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B1A2" w14:textId="171B80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7F13" w14:textId="4DC186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403,700,206.16 </w:t>
            </w:r>
          </w:p>
        </w:tc>
      </w:tr>
      <w:tr w:rsidR="00272BC6" w:rsidRPr="00272BC6" w14:paraId="70254A6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950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57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40D0" w14:textId="13AAA1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6,336.00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202A" w14:textId="535ED8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40,931,270.70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B25C" w14:textId="4E7968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8216" w14:textId="20E17D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A59D6" w14:textId="6A923F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40,937,606.70 </w:t>
            </w:r>
          </w:p>
        </w:tc>
      </w:tr>
      <w:tr w:rsidR="00272BC6" w:rsidRPr="00272BC6" w14:paraId="556171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3F4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72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D0F2" w14:textId="517F34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9A92" w14:textId="41273A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79,806,017.93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B7E4" w14:textId="26DF47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9267" w14:textId="771163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3476" w14:textId="761711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79,862,117.93 </w:t>
            </w:r>
          </w:p>
        </w:tc>
      </w:tr>
      <w:tr w:rsidR="00272BC6" w:rsidRPr="00272BC6" w14:paraId="02A2E4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A4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A8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10ED" w14:textId="0C10CE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567,804.00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168F" w14:textId="4DC4AA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142,185,410.51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4A36" w14:textId="738D31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C06D" w14:textId="4AEEC8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E207" w14:textId="588760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142,753,214.51 </w:t>
            </w:r>
          </w:p>
        </w:tc>
      </w:tr>
      <w:tr w:rsidR="00272BC6" w:rsidRPr="00272BC6" w14:paraId="0A9701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531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54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5916" w14:textId="66EE1B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8FBD" w14:textId="3D4D04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29,279,201.39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0AF8" w14:textId="5E7CD3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A69B" w14:textId="041A9F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7256" w14:textId="2D6902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29,279,201.39 </w:t>
            </w:r>
          </w:p>
        </w:tc>
      </w:tr>
      <w:tr w:rsidR="00272BC6" w:rsidRPr="00272BC6" w14:paraId="1041F72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303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82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716C" w14:textId="7AD213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2DFB" w14:textId="55187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22,392,821.06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ADB4" w14:textId="4DDBC7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C316" w14:textId="06BE99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F4AB" w14:textId="637129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22,392,821.06 </w:t>
            </w:r>
          </w:p>
        </w:tc>
      </w:tr>
      <w:tr w:rsidR="00272BC6" w:rsidRPr="00272BC6" w14:paraId="66B5DF9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3B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6D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B85F" w14:textId="5BA748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F58B" w14:textId="088FC4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29,226,860.75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B7F4" w14:textId="589BD5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D90A" w14:textId="0ECCDF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46D3" w14:textId="511A2E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29,424,860.75 </w:t>
            </w:r>
          </w:p>
        </w:tc>
      </w:tr>
      <w:tr w:rsidR="00272BC6" w:rsidRPr="00272BC6" w14:paraId="235674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FCD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7D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5969" w14:textId="446A32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C79F" w14:textId="3C34CA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27,610,800.87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D443" w14:textId="1B9479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DC57" w14:textId="1ACA8A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D2D1" w14:textId="43FDC7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27,790,800.87 </w:t>
            </w:r>
          </w:p>
        </w:tc>
      </w:tr>
      <w:tr w:rsidR="00272BC6" w:rsidRPr="00272BC6" w14:paraId="60AA40B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734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71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6460" w14:textId="7D8E65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4,190,436.00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7C56" w14:textId="7CC28A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76,164,279.93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B154" w14:textId="568FA3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C54D" w14:textId="5370F7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D005" w14:textId="1F43DD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80,354,715.93 </w:t>
            </w:r>
          </w:p>
        </w:tc>
      </w:tr>
      <w:tr w:rsidR="00272BC6" w:rsidRPr="00272BC6" w14:paraId="37C773C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3B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B0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CA68" w14:textId="1750E6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E660" w14:textId="64EA0D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89,160,771.94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CE9C" w14:textId="1C5944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196D" w14:textId="3B9A77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53DF" w14:textId="78624D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89,340,771.94 </w:t>
            </w:r>
          </w:p>
        </w:tc>
      </w:tr>
      <w:tr w:rsidR="00272BC6" w:rsidRPr="00272BC6" w14:paraId="77635BE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20E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05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DC6D" w14:textId="7A6B10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1EA8" w14:textId="255981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44,378,836.82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03CD" w14:textId="2752B0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912F" w14:textId="660851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9D60" w14:textId="01A637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44,587,636.82 </w:t>
            </w:r>
          </w:p>
        </w:tc>
      </w:tr>
      <w:tr w:rsidR="00272BC6" w:rsidRPr="00272BC6" w14:paraId="5ABFE7B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928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D4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0BF0" w14:textId="4EB1A1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364,540.00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B341" w14:textId="21C371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89,003,407.15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9FE0" w14:textId="73B5EE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375B" w14:textId="672166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75E0" w14:textId="242935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89,367,947.15 </w:t>
            </w:r>
          </w:p>
        </w:tc>
      </w:tr>
      <w:tr w:rsidR="00272BC6" w:rsidRPr="00272BC6" w14:paraId="0265DF2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953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CD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0483" w14:textId="43A232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13,464.00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CE76" w14:textId="088350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28,227,488.29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5989" w14:textId="5A9AF7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C05A" w14:textId="142A68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FF88" w14:textId="76E79F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28,240,952.29 </w:t>
            </w:r>
          </w:p>
        </w:tc>
      </w:tr>
      <w:tr w:rsidR="00272BC6" w:rsidRPr="00272BC6" w14:paraId="29FF3AE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E67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328608" w14:textId="643623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22,299,102.50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4CA444" w14:textId="14087E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124,402,148.49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46A9DB" w14:textId="4EA7B3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F18A5" w14:textId="5484FC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911C81" w14:textId="6AC0DE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146,701,250.99 </w:t>
            </w:r>
          </w:p>
        </w:tc>
      </w:tr>
      <w:tr w:rsidR="00272BC6" w:rsidRPr="00272BC6" w14:paraId="74E9C2C6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4B3E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6468F" w14:textId="60D0C9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2,575,187.50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DCB24" w14:textId="5A7000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18,910,414.27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71332" w14:textId="372BAD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584D51" w14:textId="5A3C7D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AE255" w14:textId="2FE6D1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21,485,601.77 </w:t>
            </w:r>
          </w:p>
        </w:tc>
      </w:tr>
      <w:tr w:rsidR="00272BC6" w:rsidRPr="00272BC6" w14:paraId="54CC81D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15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D511" w14:textId="4EEA00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CFEF" w14:textId="3C3711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C6BB" w14:textId="01EAD4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FC01" w14:textId="2ED7F3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86CF" w14:textId="16118C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</w:tr>
      <w:tr w:rsidR="00272BC6" w:rsidRPr="00272BC6" w14:paraId="6A1827D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F3D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0A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1E96" w14:textId="3D6C59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1FE1" w14:textId="56D9E1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4,259,188.00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EE34" w14:textId="7DF2C6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1735" w14:textId="3E6967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2FAF" w14:textId="241FD0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4,763,188.00 </w:t>
            </w:r>
          </w:p>
        </w:tc>
      </w:tr>
      <w:tr w:rsidR="00272BC6" w:rsidRPr="00272BC6" w14:paraId="07636B4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D1F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D4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BF86" w14:textId="12D4BE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4D3F" w14:textId="5D9F6C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1,266,714.96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545C" w14:textId="3EE48D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2B88" w14:textId="3CB55B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DFA4" w14:textId="336D45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1,581,714.96 </w:t>
            </w:r>
          </w:p>
        </w:tc>
      </w:tr>
      <w:tr w:rsidR="00272BC6" w:rsidRPr="00272BC6" w14:paraId="7A3070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633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45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67B2" w14:textId="5A9B4F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1698" w14:textId="596FBD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2,945,115.11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93AB" w14:textId="1BA5E8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E7C8" w14:textId="2B9D4E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A346" w14:textId="0DF1C7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3,034,502.61 </w:t>
            </w:r>
          </w:p>
        </w:tc>
      </w:tr>
      <w:tr w:rsidR="00272BC6" w:rsidRPr="00272BC6" w14:paraId="33BEC5A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852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80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891A" w14:textId="0C7FD5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9837" w14:textId="07D999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53DD" w14:textId="47933B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35FA" w14:textId="327FE0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98DB" w14:textId="0C3C5F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272BC6" w:rsidRPr="00272BC6" w14:paraId="295B79D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1651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2F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FC19" w14:textId="56D6B3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017C" w14:textId="21F712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A094" w14:textId="4E1A81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1FE3" w14:textId="626DAC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244E" w14:textId="63553C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2,900,000.00 </w:t>
            </w:r>
          </w:p>
        </w:tc>
      </w:tr>
      <w:tr w:rsidR="00272BC6" w:rsidRPr="00272BC6" w14:paraId="10B202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DD4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5A3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8822" w14:textId="57C037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868C" w14:textId="378AC5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2,060,625.00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8EFD" w14:textId="1511B2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497D" w14:textId="314852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287D" w14:textId="064AD9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2,465,625.00 </w:t>
            </w:r>
          </w:p>
        </w:tc>
      </w:tr>
      <w:tr w:rsidR="00272BC6" w:rsidRPr="00272BC6" w14:paraId="17A7813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3E0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DAF44" w14:textId="5B1732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1,904,075.00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9A542" w14:textId="169BB6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5C1D8" w14:textId="5762F0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A78C1" w14:textId="4BCFE2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72C34" w14:textId="36661B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4,981,363.22 </w:t>
            </w:r>
          </w:p>
        </w:tc>
      </w:tr>
      <w:tr w:rsidR="00272BC6" w:rsidRPr="00272BC6" w14:paraId="3720F8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3E5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23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8E52" w14:textId="08F7C3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C444" w14:textId="79DC9E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54CB" w14:textId="0294F7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E5C3" w14:textId="30CEF3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209C" w14:textId="086D48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</w:tr>
      <w:tr w:rsidR="00272BC6" w:rsidRPr="00272BC6" w14:paraId="35873BF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91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9E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ACD8" w14:textId="7229AF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B549" w14:textId="29A163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6AB1" w14:textId="00FC2D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D27C" w14:textId="6E69B7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8BC8" w14:textId="4ACF8D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272BC6" w:rsidRPr="00272BC6" w14:paraId="318A64B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54B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95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20E4" w14:textId="22B0DA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7D8E" w14:textId="317B55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894D" w14:textId="5F8186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2B35" w14:textId="731032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8118" w14:textId="43BE6C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272BC6" w:rsidRPr="00272BC6" w14:paraId="6AE6FC9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58E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1C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4477" w14:textId="03AC4E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59C8" w14:textId="35B295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0B3F" w14:textId="0A440B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5590" w14:textId="596097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61E1" w14:textId="0F9EFB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272BC6" w:rsidRPr="00272BC6" w14:paraId="59E72F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4C6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DB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8AC0" w14:textId="7C829C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C82F" w14:textId="339236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8427" w14:textId="691651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6DCF" w14:textId="1819E2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8D65" w14:textId="5BCE89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61,650.00 </w:t>
            </w:r>
          </w:p>
        </w:tc>
      </w:tr>
      <w:tr w:rsidR="00272BC6" w:rsidRPr="00272BC6" w14:paraId="7EAEDC3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5DD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F6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080D" w14:textId="2C830B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A20E" w14:textId="3F5CDF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C9EE" w14:textId="12FF30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76F1" w14:textId="7897A4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E055" w14:textId="2F8300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272BC6" w:rsidRPr="00272BC6" w14:paraId="17C4499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230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AE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E56A" w14:textId="6A897F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F24B" w14:textId="4EA650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F877" w14:textId="288581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E989" w14:textId="435BB0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13CC" w14:textId="044C2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272BC6" w:rsidRPr="00272BC6" w14:paraId="649EC28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B6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60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8900" w14:textId="305219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A2F5" w14:textId="766EF1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88AA" w14:textId="619AF2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BEAC" w14:textId="42F913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88F4" w14:textId="4C2BE9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</w:tr>
      <w:tr w:rsidR="00272BC6" w:rsidRPr="00272BC6" w14:paraId="03FCB8E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45E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83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B4D0" w14:textId="10A41B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689,850.00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7085" w14:textId="269BE4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79CE" w14:textId="73083F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A55B" w14:textId="7A3C39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85E1" w14:textId="105CBD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689,850.00 </w:t>
            </w:r>
          </w:p>
        </w:tc>
      </w:tr>
      <w:tr w:rsidR="00272BC6" w:rsidRPr="00272BC6" w14:paraId="3146AA84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EE1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BBDF" w14:textId="134087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7,442,100.00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5F17C2" w14:textId="2904F0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F145D" w14:textId="15828A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D180B" w14:textId="3C54F1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01E48" w14:textId="346ACE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8,764,100.00 </w:t>
            </w:r>
          </w:p>
        </w:tc>
      </w:tr>
      <w:tr w:rsidR="00272BC6" w:rsidRPr="00272BC6" w14:paraId="6705443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55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AD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1DA8" w14:textId="4B0725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8EF9" w14:textId="716CAA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B13B" w14:textId="2B66D9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2F46" w14:textId="48F39D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8099" w14:textId="4E9467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1,772,000.00 </w:t>
            </w:r>
          </w:p>
        </w:tc>
      </w:tr>
      <w:tr w:rsidR="00272BC6" w:rsidRPr="00272BC6" w14:paraId="07A485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31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93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87FD" w14:textId="0CDE71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E515" w14:textId="597419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06E1" w14:textId="01D7B5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E50B" w14:textId="5CFB97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B8C7" w14:textId="45B8C1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31CF2D3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D1B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7F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44BA" w14:textId="4B3EF7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5E92" w14:textId="352C45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006C" w14:textId="5C6292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12F6" w14:textId="0A52FE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5E94" w14:textId="20D0E6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3C7C5E5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705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B9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A69C" w14:textId="5FC68F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B266" w14:textId="1125F7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B31F" w14:textId="153EA3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6B5A" w14:textId="40F732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3349" w14:textId="039587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2EE9443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B51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E9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E57A" w14:textId="3652CF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49A4" w14:textId="62D878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0DFE" w14:textId="4F0230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9506" w14:textId="08D4D6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F985" w14:textId="698254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917,100.00 </w:t>
            </w:r>
          </w:p>
        </w:tc>
      </w:tr>
      <w:tr w:rsidR="00272BC6" w:rsidRPr="00272BC6" w14:paraId="4AA4ABC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A2D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FB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2070" w14:textId="12781A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690B" w14:textId="1CB9CD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8450" w14:textId="14BDE3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EF8B" w14:textId="3537CA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725A" w14:textId="050BFD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0C37CC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EDD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49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3E1D" w14:textId="42F166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9455" w14:textId="2DC3FA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6AC1" w14:textId="4E7AE7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3AD7" w14:textId="705617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23F2" w14:textId="38FD31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2F3591D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06FE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FF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0545" w14:textId="1E6A0E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F40B" w14:textId="76AF27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2AE0" w14:textId="3FB4B6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CE42" w14:textId="02C27F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8F9E" w14:textId="1C1C63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7D846A1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8BF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DB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F6AA" w14:textId="3032BD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A6CE" w14:textId="3C1073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1EE0" w14:textId="2875F3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62E6" w14:textId="1B367C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DE34" w14:textId="556105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</w:tr>
      <w:tr w:rsidR="00272BC6" w:rsidRPr="00272BC6" w14:paraId="1BD0721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823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58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C1DD" w14:textId="068B11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186B" w14:textId="13A83A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B89C" w14:textId="742F01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F631" w14:textId="7CEF2C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6E25" w14:textId="6D53D7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1B74AF1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83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1F2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81A6" w14:textId="0AA152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8CA7" w14:textId="2D3276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CA37" w14:textId="0E0C40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A13C" w14:textId="14CF23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3B03" w14:textId="273683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12B645A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EE1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15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4493" w14:textId="1037B3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A1E7" w14:textId="0C34D4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0757" w14:textId="25BE08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6813" w14:textId="7EC2E5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8815" w14:textId="0524EC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468B9D4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D2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D5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B5A5" w14:textId="7847AF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6412" w14:textId="4CAD90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B3F2" w14:textId="0285C1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279A" w14:textId="45466D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0CDE" w14:textId="050FA5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37CDF9F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A3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CF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102A" w14:textId="59A8F2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04E9" w14:textId="3FCAFD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1678" w14:textId="59F2D7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B970" w14:textId="5DFCDE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A7E0" w14:textId="6FFF25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714E5BA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B5E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A8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863A" w14:textId="7177D4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687D" w14:textId="0066C9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6258" w14:textId="32C09D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A921" w14:textId="727BDD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24B0" w14:textId="0E7049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272BC6" w:rsidRPr="00272BC6" w14:paraId="1897317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E65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170EF8" w14:textId="1ECE84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4,586,400.00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60DDF" w14:textId="1D5FEC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EEC52" w14:textId="5692A1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6CC420" w14:textId="15936E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D049F" w14:textId="4AFCB2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100,841,346.00 </w:t>
            </w:r>
          </w:p>
        </w:tc>
      </w:tr>
      <w:tr w:rsidR="00272BC6" w:rsidRPr="00272BC6" w14:paraId="2198B0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247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51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9EAC" w14:textId="64460E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ED85" w14:textId="61D0F1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FAA1" w14:textId="33DD3A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E14E" w14:textId="57408F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600E" w14:textId="356C35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</w:tr>
      <w:tr w:rsidR="00272BC6" w:rsidRPr="00272BC6" w14:paraId="288FE4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ADBC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34B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2438" w14:textId="4339E7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61D9" w14:textId="1900D2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6BB7" w14:textId="6B31EA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39EC" w14:textId="5E5B51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090C" w14:textId="619CD3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272BC6" w:rsidRPr="00272BC6" w14:paraId="0A725EB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AE1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29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9822" w14:textId="7884EC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14E9" w14:textId="49622D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1034" w14:textId="476DBA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618C" w14:textId="43798F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1CB7" w14:textId="3B4B05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132,750.00 </w:t>
            </w:r>
          </w:p>
        </w:tc>
      </w:tr>
      <w:tr w:rsidR="00272BC6" w:rsidRPr="00272BC6" w14:paraId="4DE8C20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67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79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7214" w14:textId="3C19D6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36F8" w14:textId="42C3D8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896F" w14:textId="451203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29C8" w14:textId="321039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E247" w14:textId="183623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272BC6" w:rsidRPr="00272BC6" w14:paraId="194EF9B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8EA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33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7E6B" w14:textId="1B2CEA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C302" w14:textId="737102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1266" w14:textId="53DF48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9179" w14:textId="4CE473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8E33" w14:textId="3323DE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272BC6" w:rsidRPr="00272BC6" w14:paraId="040127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D9D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AF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8941" w14:textId="29CC8C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4213" w14:textId="366E39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CD55" w14:textId="66F47D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2E97" w14:textId="2323E1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223C" w14:textId="10BA7E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272BC6" w:rsidRPr="00272BC6" w14:paraId="5143A3D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D5DB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C7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4FCE" w14:textId="06FB16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50DA" w14:textId="5DFE04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8BD2" w14:textId="098FF7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BBD9" w14:textId="50F614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5565" w14:textId="68BF73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314,550.00 </w:t>
            </w:r>
          </w:p>
        </w:tc>
      </w:tr>
      <w:tr w:rsidR="00272BC6" w:rsidRPr="00272BC6" w14:paraId="0A1936B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11F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7B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0B6D" w14:textId="179120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151C" w14:textId="41D427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BC13" w14:textId="572291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EF3B" w14:textId="7BE961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8B78" w14:textId="36E72E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272BC6" w:rsidRPr="00272BC6" w14:paraId="6F5F45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3CB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94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3946" w14:textId="5E66FC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E8D3" w14:textId="3B9745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E1EA" w14:textId="72B7EC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8562" w14:textId="6AB060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BCFF" w14:textId="17981B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272BC6" w:rsidRPr="00272BC6" w14:paraId="7C022F3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BED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5A81F" w14:textId="292AEA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5,791,340.00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F7BF1" w14:textId="5CDCE5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627563" w14:textId="745C96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E3095" w14:textId="1A1E27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A97E6" w14:textId="3C94F3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10,628,840.00 </w:t>
            </w:r>
          </w:p>
        </w:tc>
      </w:tr>
      <w:tr w:rsidR="00272BC6" w:rsidRPr="00272BC6" w14:paraId="3C485F0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2B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B105" w14:textId="5344A1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E95A" w14:textId="6687B5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080B" w14:textId="67BEE0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92D8" w14:textId="326470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4441" w14:textId="7AE891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</w:tr>
      <w:tr w:rsidR="00272BC6" w:rsidRPr="00272BC6" w14:paraId="753661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1B1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64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19C9" w14:textId="4565BE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27B6" w14:textId="11913A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35FA" w14:textId="45BF74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8EE2" w14:textId="16F5B4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76D9" w14:textId="520C92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</w:tr>
      <w:tr w:rsidR="00272BC6" w:rsidRPr="00272BC6" w14:paraId="7A18BD9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E64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61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D8E3" w14:textId="0DD7B9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5D7F" w14:textId="267D24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B397" w14:textId="3E0E0D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9BC6" w14:textId="6B7BCF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AE55" w14:textId="7E138C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272BC6" w:rsidRPr="00272BC6" w14:paraId="5F0970F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DDA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936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B23C" w14:textId="44A6E7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8861" w14:textId="157F5F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D03F" w14:textId="7F58AA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E704" w14:textId="387B8A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4E09" w14:textId="3E04E3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</w:tr>
      <w:tr w:rsidR="00272BC6" w:rsidRPr="00272BC6" w14:paraId="289C94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32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AF1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E7DB" w14:textId="46B2C8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9DBF" w14:textId="58BD11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4C0E" w14:textId="3A92E4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7A3E" w14:textId="209052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8F77" w14:textId="4DAA36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272BC6" w:rsidRPr="00272BC6" w14:paraId="24C8B6F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176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FB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D0A5" w14:textId="239168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1180" w14:textId="53F113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20E3" w14:textId="0BD45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5F94" w14:textId="432EB0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BD07" w14:textId="2AC3B8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272BC6" w:rsidRPr="00272BC6" w14:paraId="0AE343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F30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C0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6D77" w14:textId="406E2F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4EBD" w14:textId="1CD2EF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80B3" w14:textId="3B3D3B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3D46" w14:textId="4EC5F4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95FF" w14:textId="3A9ACE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249,300.00 </w:t>
            </w:r>
          </w:p>
        </w:tc>
      </w:tr>
      <w:tr w:rsidR="00272BC6" w:rsidRPr="00272BC6" w14:paraId="46B0CE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A08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C9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7D23" w14:textId="425B75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5365" w14:textId="1126B4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45EC" w14:textId="0371AC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4EDE" w14:textId="3F8546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7635" w14:textId="0CB0EC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272BC6" w:rsidRPr="00272BC6" w14:paraId="266CCCA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CF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5E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0D3D" w14:textId="33D664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9B94" w14:textId="2F5B27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3C01" w14:textId="3F8D02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D7E5" w14:textId="10584B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2463" w14:textId="3FE5D7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</w:tr>
      <w:tr w:rsidR="00272BC6" w:rsidRPr="00272BC6" w14:paraId="1ED0E13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B8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2E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F68D" w14:textId="27D824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516C" w14:textId="251A03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59AE" w14:textId="0A1DEA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1996" w14:textId="468CF0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8FBC" w14:textId="35CD06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271,800.00 </w:t>
            </w:r>
          </w:p>
        </w:tc>
      </w:tr>
      <w:tr w:rsidR="00272BC6" w:rsidRPr="00272BC6" w14:paraId="26B679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D8E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0D3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809B" w14:textId="1B04E9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508,050.00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6AA4" w14:textId="762A44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CF1F" w14:textId="65E5B6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C548" w14:textId="2ABF0F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4003" w14:textId="2FF95E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508,050.00 </w:t>
            </w:r>
          </w:p>
        </w:tc>
      </w:tr>
      <w:tr w:rsidR="00272BC6" w:rsidRPr="00272BC6" w14:paraId="3CAEB5D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3A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8A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D720" w14:textId="42217D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B47A" w14:textId="683CAF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7B98" w14:textId="540508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56CE" w14:textId="2561D6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D57C" w14:textId="09A236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272BC6" w:rsidRPr="00272BC6" w14:paraId="3C08886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B6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6B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9C79" w14:textId="5971DC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979D" w14:textId="38E12A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2AB7" w14:textId="23E986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8FAA" w14:textId="00DBE3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36DE" w14:textId="65477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161,550.00 </w:t>
            </w:r>
          </w:p>
        </w:tc>
      </w:tr>
      <w:tr w:rsidR="00272BC6" w:rsidRPr="00272BC6" w14:paraId="14D3E98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12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A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D51F" w14:textId="3572CE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CA4C" w14:textId="2FD341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9CC1" w14:textId="1B3B84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551C" w14:textId="4829A2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C11A" w14:textId="120A87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272BC6" w:rsidRPr="00272BC6" w14:paraId="7C08327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377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9D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04EB" w14:textId="57994B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6D9B" w14:textId="5D73F2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C308" w14:textId="799CC7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B6CB" w14:textId="1C6AE9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35A8" w14:textId="698B16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272BC6" w:rsidRPr="00272BC6" w14:paraId="31A2657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3EC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1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40F7" w14:textId="374BB4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193A" w14:textId="425438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8336" w14:textId="7B553F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90DA" w14:textId="304229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B3B1" w14:textId="3C55B1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272BC6" w:rsidRPr="00272BC6" w14:paraId="4BBC42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C64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02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7AD8" w14:textId="68364B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7CF9" w14:textId="62E92C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2165" w14:textId="2AC0BC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D75D" w14:textId="27195D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E30C" w14:textId="65EA0B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305,675.00 </w:t>
            </w:r>
          </w:p>
        </w:tc>
      </w:tr>
      <w:tr w:rsidR="00272BC6" w:rsidRPr="00272BC6" w14:paraId="521EB51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07E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FE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1478" w14:textId="025C56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F060" w14:textId="60F3E4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4FDE" w14:textId="205F93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CBF1" w14:textId="76BE05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C3A6" w14:textId="4C0775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</w:tr>
      <w:tr w:rsidR="00272BC6" w:rsidRPr="00272BC6" w14:paraId="48C192E6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6CC0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9E5F72" w14:textId="3C4BBD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39,761,885.71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C05AB9" w14:textId="6FCCD6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340,453,361.37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6561E5" w14:textId="312418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695D3E" w14:textId="111554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ADF34" w14:textId="26F45C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383,292,197.08 </w:t>
            </w:r>
          </w:p>
        </w:tc>
      </w:tr>
      <w:tr w:rsidR="00272BC6" w:rsidRPr="00272BC6" w14:paraId="56EEE66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D668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C45017" w14:textId="6A8CB5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6,593,356.62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181E1" w14:textId="0562A5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60,803,281.10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209AF0" w14:textId="075A24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E4A8F3" w14:textId="2FBE82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26238" w14:textId="1C630E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68,842,387.72 </w:t>
            </w:r>
          </w:p>
        </w:tc>
      </w:tr>
      <w:tr w:rsidR="00272BC6" w:rsidRPr="00272BC6" w14:paraId="60A273D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A7C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73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1CEF" w14:textId="7CC064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DE75" w14:textId="389DE2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FBFA" w14:textId="540D18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9EFC" w14:textId="1345B6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D203" w14:textId="6BC059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272BC6" w:rsidRPr="00272BC6" w14:paraId="3E70D6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3B6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45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F7A7" w14:textId="31C98C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8CBF" w14:textId="1D5A26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5560" w14:textId="1FB249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237C" w14:textId="1BE1C6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1D32" w14:textId="53678E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932,281.72 </w:t>
            </w:r>
          </w:p>
        </w:tc>
      </w:tr>
      <w:tr w:rsidR="00272BC6" w:rsidRPr="00272BC6" w14:paraId="6AE25F4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3E7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F9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FB38" w14:textId="241FCC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6B02" w14:textId="50ECBA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197F" w14:textId="0E9D75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FB05" w14:textId="090AC9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DF81" w14:textId="49F61B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3,647,712.56 </w:t>
            </w:r>
          </w:p>
        </w:tc>
      </w:tr>
      <w:tr w:rsidR="00272BC6" w:rsidRPr="00272BC6" w14:paraId="369618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49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D4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9929" w14:textId="3E7E07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8919" w14:textId="6024BE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3755" w14:textId="377550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9B02" w14:textId="4947DD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817B" w14:textId="640E7C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1,993,586.24 </w:t>
            </w:r>
          </w:p>
        </w:tc>
      </w:tr>
      <w:tr w:rsidR="00272BC6" w:rsidRPr="00272BC6" w14:paraId="174882C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1AD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9F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64BF" w14:textId="59835E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D685" w14:textId="0B95C6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26,501,073.00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C6BB5" w14:textId="0ED3BC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CBDA" w14:textId="1A5D8E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66E1" w14:textId="1251DB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26,503,423.00 </w:t>
            </w:r>
          </w:p>
        </w:tc>
      </w:tr>
      <w:tr w:rsidR="00272BC6" w:rsidRPr="00272BC6" w14:paraId="34774E2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EF4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46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ABA2" w14:textId="22C8A0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14D6" w14:textId="10B573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4,150,736.10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04F3" w14:textId="0FAE12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A264" w14:textId="7D949B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8E14" w14:textId="70A7DF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4,641,033.38 </w:t>
            </w:r>
          </w:p>
        </w:tc>
      </w:tr>
      <w:tr w:rsidR="00272BC6" w:rsidRPr="00272BC6" w14:paraId="389E75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D69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B8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A5E9" w14:textId="307F32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B663" w14:textId="6864D3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A62B" w14:textId="17929C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8DED" w14:textId="24EB94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6974" w14:textId="323D50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272BC6" w:rsidRPr="00272BC6" w14:paraId="2A70B34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92B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83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6FA7" w14:textId="3D9C3F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4CFC" w14:textId="73939E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27EE" w14:textId="25CC2C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9AC6" w14:textId="4F83FB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5214" w14:textId="6DE9BC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272BC6" w:rsidRPr="00272BC6" w14:paraId="304504B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F8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E4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2EED" w14:textId="2D93E5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0C72" w14:textId="59BCAA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8,009,400.00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3CCB" w14:textId="3F21DF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073E" w14:textId="385BA4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CB03" w14:textId="4D32A2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8,277,421.36 </w:t>
            </w:r>
          </w:p>
        </w:tc>
      </w:tr>
      <w:tr w:rsidR="00272BC6" w:rsidRPr="00272BC6" w14:paraId="63BC38B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87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EB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3C8" w14:textId="3F9281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0A95" w14:textId="30ACF7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B166" w14:textId="0AC1FF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6388" w14:textId="309499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2B33" w14:textId="2F4E51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272BC6" w:rsidRPr="00272BC6" w14:paraId="3AE3081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8A1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FB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9873" w14:textId="23A995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2C32" w14:textId="77CE21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1,253,262.00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71BF" w14:textId="710257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A8B1" w14:textId="189177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7540" w14:textId="159887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1,829,287.44 </w:t>
            </w:r>
          </w:p>
        </w:tc>
      </w:tr>
      <w:tr w:rsidR="00272BC6" w:rsidRPr="00272BC6" w14:paraId="60B755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48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37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09AA" w14:textId="7AF015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8AF6" w14:textId="2364EB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CECB" w14:textId="7D38FB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09E7" w14:textId="03EBD8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B9B0" w14:textId="35D84D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272BC6" w:rsidRPr="00272BC6" w14:paraId="40CD32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605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A3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F907" w14:textId="09F035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5551" w14:textId="2EE56E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321,750.00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BAC0" w14:textId="3BAD2E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25AD" w14:textId="3D7104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3418" w14:textId="03F202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719,676.68 </w:t>
            </w:r>
          </w:p>
        </w:tc>
      </w:tr>
      <w:tr w:rsidR="00272BC6" w:rsidRPr="00272BC6" w14:paraId="7A6E4F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35B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C8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33AC" w14:textId="2EB191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376F" w14:textId="335AF8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712B" w14:textId="4E9D79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6246" w14:textId="4215B0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0799" w14:textId="19F0CA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272BC6" w:rsidRPr="00272BC6" w14:paraId="0E4D211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410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A0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0F44" w14:textId="6D0EE8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9752" w14:textId="2F139B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E2AE" w14:textId="1C3A6D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0866" w14:textId="28AC7C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0D11" w14:textId="052EA4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4,323,630.00 </w:t>
            </w:r>
          </w:p>
        </w:tc>
      </w:tr>
      <w:tr w:rsidR="00272BC6" w:rsidRPr="00272BC6" w14:paraId="7090188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C2A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6F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BC5A" w14:textId="5CE8E7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CB4B" w14:textId="316B86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9,711,460.00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ED2A" w14:textId="6F28BF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33D4" w14:textId="024599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4879" w14:textId="3ED87E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10,267,149.80 </w:t>
            </w:r>
          </w:p>
        </w:tc>
      </w:tr>
      <w:tr w:rsidR="00272BC6" w:rsidRPr="00272BC6" w14:paraId="3662C2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AEE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38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2502B" w14:textId="567441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6AE6" w14:textId="5C6F21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B4E6" w14:textId="5F53E1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B000" w14:textId="61E92E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BEAD" w14:textId="36917C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3,079,306.78 </w:t>
            </w:r>
          </w:p>
        </w:tc>
      </w:tr>
      <w:tr w:rsidR="00272BC6" w:rsidRPr="00272BC6" w14:paraId="391BFD3E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B1F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67696" w14:textId="096CD2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4,225,919.83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03E3F" w14:textId="1886E2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83,370,543.08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0C424" w14:textId="31D399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1156F7" w14:textId="6407DF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24347" w14:textId="7D52EB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87,596,462.91 </w:t>
            </w:r>
          </w:p>
        </w:tc>
      </w:tr>
      <w:tr w:rsidR="00272BC6" w:rsidRPr="00272BC6" w14:paraId="4F425C6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16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2A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2A8E" w14:textId="400C21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7627" w14:textId="135A63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8478" w14:textId="405FC7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C252" w14:textId="0B4C0F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6548" w14:textId="68CD8D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</w:tr>
      <w:tr w:rsidR="00272BC6" w:rsidRPr="00272BC6" w14:paraId="746E77E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2A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4B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69ED" w14:textId="328644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D8470" w14:textId="344ACB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10,182,787.80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8045" w14:textId="1D61C8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D121" w14:textId="6335DB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8E6B" w14:textId="1F83D3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10,361,370.96 </w:t>
            </w:r>
          </w:p>
        </w:tc>
      </w:tr>
      <w:tr w:rsidR="00272BC6" w:rsidRPr="00272BC6" w14:paraId="4DBDFF2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A11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25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34CB" w14:textId="4B40BB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3E1E" w14:textId="347943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CDBA" w14:textId="4B568E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47B0" w14:textId="40B0F7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132B" w14:textId="36ADCD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</w:tr>
      <w:tr w:rsidR="00272BC6" w:rsidRPr="00272BC6" w14:paraId="5FF5970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1A3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F2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CD03" w14:textId="7370DA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254,532.32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B345" w14:textId="21C5BA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24,083,067.00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4D57" w14:textId="09A736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AC0B" w14:textId="5D2B8E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DE6A2" w14:textId="5C2120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24,337,599.32 </w:t>
            </w:r>
          </w:p>
        </w:tc>
      </w:tr>
      <w:tr w:rsidR="00272BC6" w:rsidRPr="00272BC6" w14:paraId="7336948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F36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AD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ED0E" w14:textId="55A37D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2B78" w14:textId="38E620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7E52" w14:textId="206EF5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06EE" w14:textId="5DE2BE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8499" w14:textId="7B34F9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272BC6" w:rsidRPr="00272BC6" w14:paraId="64E4A26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13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C3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8B58" w14:textId="051F45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8F40" w14:textId="626612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7,972,120.00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73C0" w14:textId="4E3280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5CFF" w14:textId="6D24F1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9115" w14:textId="2FF636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8,794,620.00 </w:t>
            </w:r>
          </w:p>
        </w:tc>
      </w:tr>
      <w:tr w:rsidR="00272BC6" w:rsidRPr="00272BC6" w14:paraId="4EEEEF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81A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21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5EC7" w14:textId="67923C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A939" w14:textId="281347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BAA2" w14:textId="64734B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E246" w14:textId="714052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5000" w14:textId="46AE3F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272BC6" w:rsidRPr="00272BC6" w14:paraId="44BFAF8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9C5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3F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0332" w14:textId="37C16A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737F" w14:textId="4DF717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8,980,594.00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C346" w14:textId="6F95C5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4319" w14:textId="6D8FD8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FADC" w14:textId="58D836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9,381,700.72 </w:t>
            </w:r>
          </w:p>
        </w:tc>
      </w:tr>
      <w:tr w:rsidR="00272BC6" w:rsidRPr="00272BC6" w14:paraId="6024EFA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8D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08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F63F" w14:textId="319F4A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8AE8" w14:textId="2F9705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16,910,719.65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ACB6" w14:textId="147335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B86D" w14:textId="7FF9B0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269B" w14:textId="3C4824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17,003,149.65 </w:t>
            </w:r>
          </w:p>
        </w:tc>
      </w:tr>
      <w:tr w:rsidR="00272BC6" w:rsidRPr="00272BC6" w14:paraId="5E94A1E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A063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9F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BAD8" w14:textId="186C43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A825" w14:textId="4275A6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1,574,765.00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4558" w14:textId="37A32F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19C2" w14:textId="79D9D0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0AAF" w14:textId="431865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1,639,255.94 </w:t>
            </w:r>
          </w:p>
        </w:tc>
      </w:tr>
      <w:tr w:rsidR="00272BC6" w:rsidRPr="00272BC6" w14:paraId="4A93E5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516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B3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21F5" w14:textId="7C602B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544C" w14:textId="49698F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4,466,180.88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CC77" w14:textId="0C4A22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CE70" w14:textId="183978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9D63" w14:textId="77436C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4,710,840.90 </w:t>
            </w:r>
          </w:p>
        </w:tc>
      </w:tr>
      <w:tr w:rsidR="00272BC6" w:rsidRPr="00272BC6" w14:paraId="4C60E33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B3C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7B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A98D" w14:textId="186652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6B87" w14:textId="1C25DA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4,800,308.75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E3B3" w14:textId="224BCC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12B6" w14:textId="3BC48C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8AF1" w14:textId="0820F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4,928,211.43 </w:t>
            </w:r>
          </w:p>
        </w:tc>
      </w:tr>
      <w:tr w:rsidR="00272BC6" w:rsidRPr="00272BC6" w14:paraId="54A0F6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A0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58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D041" w14:textId="00E5D1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01FD" w14:textId="36ADD1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1F7B" w14:textId="13A991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6802" w14:textId="4962E1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E2A7" w14:textId="6CE550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4,830,050.00 </w:t>
            </w:r>
          </w:p>
        </w:tc>
      </w:tr>
      <w:tr w:rsidR="00272BC6" w:rsidRPr="00272BC6" w14:paraId="78882B8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D25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55C31" w14:textId="736709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18,144,637.97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EA668" w14:textId="7AF976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117,814,704.37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A2BF1E" w14:textId="2FED78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8ACBD9" w14:textId="5FC9BB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B17AD" w14:textId="048D3B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136,009,342.34 </w:t>
            </w:r>
          </w:p>
        </w:tc>
      </w:tr>
      <w:tr w:rsidR="00272BC6" w:rsidRPr="00272BC6" w14:paraId="10E2CB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9BD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1F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4E79" w14:textId="128A59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1,380,807.28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3E9E" w14:textId="728F83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F1E4" w14:textId="6B1AF1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7E09" w14:textId="4D9CC3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00AC" w14:textId="41DDC6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1,380,807.28 </w:t>
            </w:r>
          </w:p>
        </w:tc>
      </w:tr>
      <w:tr w:rsidR="00272BC6" w:rsidRPr="00272BC6" w14:paraId="11DBC7C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096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7D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54B8" w14:textId="03B98B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D9C2" w14:textId="357290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32,565,991.36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A2D3" w14:textId="545B9F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26BB" w14:textId="11390F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C8F9" w14:textId="17F466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32,868,615.04 </w:t>
            </w:r>
          </w:p>
        </w:tc>
      </w:tr>
      <w:tr w:rsidR="00272BC6" w:rsidRPr="00272BC6" w14:paraId="5EC976F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D116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DD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DAB4" w14:textId="3C6A96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CB17" w14:textId="4FEECA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DE76" w14:textId="27A366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530D" w14:textId="722E6C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C8B3" w14:textId="78CDAF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1,452,974.94 </w:t>
            </w:r>
          </w:p>
        </w:tc>
      </w:tr>
      <w:tr w:rsidR="00272BC6" w:rsidRPr="00272BC6" w14:paraId="417AC1B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7F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09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B421" w14:textId="2810D5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12FB" w14:textId="16F96B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1,812,942.00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FB7B" w14:textId="3CBFF4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5E6C" w14:textId="65A4E0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2CAD" w14:textId="505718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2,106,182.00 </w:t>
            </w:r>
          </w:p>
        </w:tc>
      </w:tr>
      <w:tr w:rsidR="00272BC6" w:rsidRPr="00272BC6" w14:paraId="799FC0F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64D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F8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7668" w14:textId="65A645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20AA" w14:textId="430D46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374,528.00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EC07" w14:textId="31206B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B350" w14:textId="40635E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FE1F" w14:textId="22FF76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492,145.76 </w:t>
            </w:r>
          </w:p>
        </w:tc>
      </w:tr>
      <w:tr w:rsidR="00272BC6" w:rsidRPr="00272BC6" w14:paraId="6360A67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B2F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C0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09D3" w14:textId="6672E3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DF05" w14:textId="10D092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B2AF" w14:textId="0F983D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C4AF" w14:textId="6BAA80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30A2" w14:textId="0B5F8F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12,526,620.22 </w:t>
            </w:r>
          </w:p>
        </w:tc>
      </w:tr>
      <w:tr w:rsidR="00272BC6" w:rsidRPr="00272BC6" w14:paraId="55FD52F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022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33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8211" w14:textId="13A597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7695" w14:textId="666510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7,408,809.70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F2A4" w14:textId="5FE2B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667A" w14:textId="22A26E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3B8C" w14:textId="32EF8C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7,954,676.77 </w:t>
            </w:r>
          </w:p>
        </w:tc>
      </w:tr>
      <w:tr w:rsidR="00272BC6" w:rsidRPr="00272BC6" w14:paraId="1C19C1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561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3D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4F89" w14:textId="6548AE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17FC" w14:textId="1E0A0C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1,850,040.00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D087" w14:textId="65BBD5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8470" w14:textId="4A8B8B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9BC5" w14:textId="730754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1,987,260.72 </w:t>
            </w:r>
          </w:p>
        </w:tc>
      </w:tr>
      <w:tr w:rsidR="00272BC6" w:rsidRPr="00272BC6" w14:paraId="74C3E5D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5C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92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67BE" w14:textId="651799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514,342.96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BF6F" w14:textId="627E47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7,336,000.00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F63D" w14:textId="0C1456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7819" w14:textId="305917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2D2D" w14:textId="7B7F72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7,850,342.96 </w:t>
            </w:r>
          </w:p>
        </w:tc>
      </w:tr>
      <w:tr w:rsidR="00272BC6" w:rsidRPr="00272BC6" w14:paraId="76BF284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683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E6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02CA" w14:textId="0193B0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E810" w14:textId="7DFF5E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57C6" w14:textId="3A91DB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15FB" w14:textId="422992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09DD" w14:textId="6A7727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1,122,882.96 </w:t>
            </w:r>
          </w:p>
        </w:tc>
      </w:tr>
      <w:tr w:rsidR="00272BC6" w:rsidRPr="00272BC6" w14:paraId="2321A9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9AA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2D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54DB" w14:textId="659DD1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353F" w14:textId="4680AA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2,086,900.00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63A4" w14:textId="26B563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556F" w14:textId="646DEB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4868" w14:textId="44BAC2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2,246,422.56 </w:t>
            </w:r>
          </w:p>
        </w:tc>
      </w:tr>
      <w:tr w:rsidR="00272BC6" w:rsidRPr="00272BC6" w14:paraId="5D34625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A21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15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A3AC6" w14:textId="469A68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437,126.16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A7CE" w14:textId="6B0B9C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4,212,750.00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568F" w14:textId="09339A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AC27" w14:textId="18F6A7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25EA" w14:textId="7A5B9A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4,649,876.16 </w:t>
            </w:r>
          </w:p>
        </w:tc>
      </w:tr>
      <w:tr w:rsidR="00272BC6" w:rsidRPr="00272BC6" w14:paraId="367AB84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E7A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DB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D07C" w14:textId="691E14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CAF6" w14:textId="327895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15C3" w14:textId="043A70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9DE0" w14:textId="33F71A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7184" w14:textId="0D7175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1,009,414.68 </w:t>
            </w:r>
          </w:p>
        </w:tc>
      </w:tr>
      <w:tr w:rsidR="00272BC6" w:rsidRPr="00272BC6" w14:paraId="2AEF9AD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82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316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0750" w14:textId="13BEF6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874B" w14:textId="6FE719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0C35" w14:textId="609591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1D6D" w14:textId="5B6BBE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C613" w14:textId="145A38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7DC241F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354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5A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0F4B" w14:textId="776CF2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85AA" w14:textId="571B83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A74B" w14:textId="28E009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CE98" w14:textId="7291D3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A210" w14:textId="54174D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1,597,569.16 </w:t>
            </w:r>
          </w:p>
        </w:tc>
      </w:tr>
      <w:tr w:rsidR="00272BC6" w:rsidRPr="00272BC6" w14:paraId="44BCFE8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967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65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0AB6" w14:textId="3AFC60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C7A6" w14:textId="70BEB3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1BD8" w14:textId="364E1A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2715" w14:textId="084DF3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FC8A" w14:textId="005016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2,666,422.48 </w:t>
            </w:r>
          </w:p>
        </w:tc>
      </w:tr>
      <w:tr w:rsidR="00272BC6" w:rsidRPr="00272BC6" w14:paraId="1FD8609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DEE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C3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8D79" w14:textId="553E52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309A" w14:textId="3F26CF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4F06" w14:textId="676961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732C" w14:textId="2DFD3A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183A" w14:textId="71BE58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272BC6" w:rsidRPr="00272BC6" w14:paraId="1735E8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E03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E78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A273" w14:textId="7AE77C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D40C" w14:textId="68F805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4,519,200.00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81A9" w14:textId="1A77EB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1E2A" w14:textId="1427F5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0F12" w14:textId="5F5F46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5,079,630.04 </w:t>
            </w:r>
          </w:p>
        </w:tc>
      </w:tr>
      <w:tr w:rsidR="00272BC6" w:rsidRPr="00272BC6" w14:paraId="1155ED1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4A4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95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03AB" w14:textId="359D51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7131" w14:textId="4DEE57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35DF" w14:textId="04BA9E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9A62" w14:textId="137455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6A6F" w14:textId="367100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1,465,958.20 </w:t>
            </w:r>
          </w:p>
        </w:tc>
      </w:tr>
      <w:tr w:rsidR="00272BC6" w:rsidRPr="00272BC6" w14:paraId="2370709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500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CE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9430" w14:textId="312366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E4DB" w14:textId="02EDAC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1,162,625.00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8339" w14:textId="672FF2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D722" w14:textId="3C046C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FA63" w14:textId="76CCD6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1,446,867.92 </w:t>
            </w:r>
          </w:p>
        </w:tc>
      </w:tr>
      <w:tr w:rsidR="00272BC6" w:rsidRPr="00272BC6" w14:paraId="5479C17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B6B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6A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A5FD" w14:textId="6EA850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AB02" w14:textId="53FEA6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4C3C" w14:textId="45961A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71D7" w14:textId="59F2F6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08FD" w14:textId="6CCAA7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745,814.88 </w:t>
            </w:r>
          </w:p>
        </w:tc>
      </w:tr>
      <w:tr w:rsidR="00272BC6" w:rsidRPr="00272BC6" w14:paraId="1185C6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050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FA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DB0B" w14:textId="360A24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0FA8" w14:textId="1A2D99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971,700.00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97FD" w14:textId="57F8A9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BDB2" w14:textId="4EA222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2802" w14:textId="1F8017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1,114,507.88 </w:t>
            </w:r>
          </w:p>
        </w:tc>
      </w:tr>
      <w:tr w:rsidR="00272BC6" w:rsidRPr="00272BC6" w14:paraId="6FB858B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BB9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5C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B0E5" w14:textId="2F9B07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2931" w14:textId="7EF91D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1B22" w14:textId="070C33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DB7E" w14:textId="655277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393C" w14:textId="320570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3,655,558.80 </w:t>
            </w:r>
          </w:p>
        </w:tc>
      </w:tr>
      <w:tr w:rsidR="00272BC6" w:rsidRPr="00272BC6" w14:paraId="110A6D3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014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A9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1623" w14:textId="34E820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1BF3" w14:textId="16794B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0DF2" w14:textId="7C6419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E07E" w14:textId="44247B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2AF8" w14:textId="45DEA4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1,629,371.53 </w:t>
            </w:r>
          </w:p>
        </w:tc>
      </w:tr>
      <w:tr w:rsidR="00272BC6" w:rsidRPr="00272BC6" w14:paraId="3ACF72B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BEF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87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E569" w14:textId="199ECB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656,120.00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B560" w14:textId="31CA97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019D" w14:textId="031FCE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A06E" w14:textId="3900C1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5EDF" w14:textId="74A742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5,656,120.00 </w:t>
            </w:r>
          </w:p>
        </w:tc>
      </w:tr>
      <w:tr w:rsidR="00272BC6" w:rsidRPr="00272BC6" w14:paraId="7689284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0D1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D2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8726" w14:textId="559245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966C" w14:textId="24B5D5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4,621,000.00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6A00" w14:textId="08CE00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67C1" w14:textId="2FD825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2437" w14:textId="4686E6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5,412,480.00 </w:t>
            </w:r>
          </w:p>
        </w:tc>
      </w:tr>
      <w:tr w:rsidR="00272BC6" w:rsidRPr="00272BC6" w14:paraId="6351132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CF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8D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4D0B" w14:textId="323670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72B0" w14:textId="0EEDF9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C605" w14:textId="4FF5B2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7FDD" w14:textId="26BD18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1726" w14:textId="61997F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1,858,608.28 </w:t>
            </w:r>
          </w:p>
        </w:tc>
      </w:tr>
      <w:tr w:rsidR="00272BC6" w:rsidRPr="00272BC6" w14:paraId="2380EB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88C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08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2728" w14:textId="1F3C3D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07CA" w14:textId="382B11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221,848.31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BD8D" w14:textId="476361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BD03" w14:textId="62CFCC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006B" w14:textId="497586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669,804.00 </w:t>
            </w:r>
          </w:p>
        </w:tc>
      </w:tr>
      <w:tr w:rsidR="00272BC6" w:rsidRPr="00272BC6" w14:paraId="6CF08C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43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D5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9FAA" w14:textId="2DC7A8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384,730.88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013F" w14:textId="1B3E93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821D" w14:textId="265162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5D2B" w14:textId="04D28A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EACE" w14:textId="3205C6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6,184,730.88 </w:t>
            </w:r>
          </w:p>
        </w:tc>
      </w:tr>
      <w:tr w:rsidR="00272BC6" w:rsidRPr="00272BC6" w14:paraId="2B460A1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8C0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A1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9BBF" w14:textId="7D0D26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A828" w14:textId="3F00EC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AE218" w14:textId="0ECF0E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8B36" w14:textId="6970CA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5DF2" w14:textId="6E7F73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272BC6" w:rsidRPr="00272BC6" w14:paraId="6E2419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F0E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53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CEF8" w14:textId="66C641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BFA3" w14:textId="35802B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642,160.00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84E4" w14:textId="46C961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ECE8" w14:textId="570BA1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3E19" w14:textId="3827F0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1,023,078.76 </w:t>
            </w:r>
          </w:p>
        </w:tc>
      </w:tr>
      <w:tr w:rsidR="00272BC6" w:rsidRPr="00272BC6" w14:paraId="212907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7F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0A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96F3" w14:textId="392874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B276" w14:textId="7A6E43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059A" w14:textId="46D905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A947" w14:textId="3F83F8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FBCF" w14:textId="605998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272BC6" w:rsidRPr="00272BC6" w14:paraId="2A6F8D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113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7C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2EF0" w14:textId="3C086B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8D8D" w14:textId="66DB24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5,161,280.00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DF6" w14:textId="2B4F00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B8DB" w14:textId="465A3E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9861" w14:textId="7C62D8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5,358,337.28 </w:t>
            </w:r>
          </w:p>
        </w:tc>
      </w:tr>
      <w:tr w:rsidR="00272BC6" w:rsidRPr="00272BC6" w14:paraId="6559B2A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4D7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35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2E4A" w14:textId="5965E4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B03D" w14:textId="16EAAE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E874" w14:textId="1F7E10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913D" w14:textId="5765CD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CEF6" w14:textId="4ECE41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</w:tr>
      <w:tr w:rsidR="00272BC6" w:rsidRPr="00272BC6" w14:paraId="1D6ECA9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83B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3D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74EA" w14:textId="522A82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DEAC" w14:textId="305C11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939,430.00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1FA9" w14:textId="4CC57B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728F" w14:textId="0BA310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9B75" w14:textId="59E404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1,380,582.72 </w:t>
            </w:r>
          </w:p>
        </w:tc>
      </w:tr>
      <w:tr w:rsidR="00272BC6" w:rsidRPr="00272BC6" w14:paraId="3B9F86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F03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28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06A8" w14:textId="0F2956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02E6" w14:textId="142380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D6F2" w14:textId="17B5A5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CDE5" w14:textId="2F28F8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9BB8" w14:textId="17A6FF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272BC6" w:rsidRPr="00272BC6" w14:paraId="3D30E4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855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F7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F684" w14:textId="073BF4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F8AD" w14:textId="17C2DE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CB5" w14:textId="65AEEA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F6A6" w14:textId="0E70FA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0F4D" w14:textId="151F26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8,025,483.12 </w:t>
            </w:r>
          </w:p>
        </w:tc>
      </w:tr>
      <w:tr w:rsidR="00272BC6" w:rsidRPr="00272BC6" w14:paraId="3B513F8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603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DA466" w14:textId="33F4AF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8A25D" w14:textId="40F5AD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2,802,559.00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9A44D" w14:textId="383D35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0E1A2" w14:textId="6A9A98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CDE84" w14:textId="109272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4,462,416.38 </w:t>
            </w:r>
          </w:p>
        </w:tc>
      </w:tr>
      <w:tr w:rsidR="00272BC6" w:rsidRPr="00272BC6" w14:paraId="6364755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D6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4A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C443" w14:textId="5C8A9A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0DD7" w14:textId="509A24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C03B" w14:textId="067520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6A15" w14:textId="695AA3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6884" w14:textId="50B086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272BC6" w:rsidRPr="00272BC6" w14:paraId="78F97EE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0E9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0F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8DAE" w14:textId="3595C4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3975" w14:textId="7628A4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10E7" w14:textId="0ED363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27C4" w14:textId="677DDB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4660" w14:textId="407684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</w:tr>
      <w:tr w:rsidR="00272BC6" w:rsidRPr="00272BC6" w14:paraId="6E16E4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56B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B7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226C" w14:textId="00F47A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9220" w14:textId="1E0E09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D06F" w14:textId="4CD758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0113" w14:textId="6064D9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0C12" w14:textId="5136D8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</w:tr>
      <w:tr w:rsidR="00272BC6" w:rsidRPr="00272BC6" w14:paraId="5138CB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6EA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A0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61CF" w14:textId="24FFB3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2170" w14:textId="1B4C77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73FF" w14:textId="05072C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BADB" w14:textId="7EB3E0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2665" w14:textId="1A21A7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</w:tr>
      <w:tr w:rsidR="00272BC6" w:rsidRPr="00272BC6" w14:paraId="4FD47D4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13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F0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32B1" w14:textId="38CD7B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7828" w14:textId="5826D4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77C9" w14:textId="2BD753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5188" w14:textId="13131B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9D62" w14:textId="212536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272BC6" w:rsidRPr="00272BC6" w14:paraId="286533C4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82F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74F6D" w14:textId="1051FA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1,213,841.32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F06A0" w14:textId="54D223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32,460,329.52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E160C" w14:textId="058541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08FBE" w14:textId="3B8AC8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F74D82" w14:textId="79C725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33,674,170.84 </w:t>
            </w:r>
          </w:p>
        </w:tc>
      </w:tr>
      <w:tr w:rsidR="00272BC6" w:rsidRPr="00272BC6" w14:paraId="1B29221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FC1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35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12C2" w14:textId="37601C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9710" w14:textId="769E7B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FA95" w14:textId="5911C9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01B1" w14:textId="2A1B4D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BBCB" w14:textId="708240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</w:tr>
      <w:tr w:rsidR="00272BC6" w:rsidRPr="00272BC6" w14:paraId="37D7AEB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D30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69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1072" w14:textId="629343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CB04" w14:textId="62B55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3DFB" w14:textId="318FB3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A4BE" w14:textId="329C31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EFB5" w14:textId="0BCC99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</w:tr>
      <w:tr w:rsidR="00272BC6" w:rsidRPr="00272BC6" w14:paraId="317086B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5C8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5D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F9AB" w14:textId="2D3F39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D290" w14:textId="0A4027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373,276.00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B60D" w14:textId="62E9BA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0577" w14:textId="0A19E6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598F" w14:textId="7B260A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489,427.00 </w:t>
            </w:r>
          </w:p>
        </w:tc>
      </w:tr>
      <w:tr w:rsidR="00272BC6" w:rsidRPr="00272BC6" w14:paraId="6F5501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BC9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C3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AFBB" w14:textId="1E4382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67C3" w14:textId="0EA4BA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5A9D" w14:textId="1E8BAE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0A69" w14:textId="1CB431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1BA9" w14:textId="1616D5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</w:tr>
      <w:tr w:rsidR="00272BC6" w:rsidRPr="00272BC6" w14:paraId="4A236F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833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C6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45D2" w14:textId="639EC6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788F" w14:textId="7D04EF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D5BF" w14:textId="5EAAF6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EB63" w14:textId="4DD943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F721" w14:textId="01D7CA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</w:tr>
      <w:tr w:rsidR="00272BC6" w:rsidRPr="00272BC6" w14:paraId="388AE2E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48D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75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6E47" w14:textId="4CCE7B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5B47" w14:textId="6C65D5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A98F" w14:textId="2F7F0B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C82AE" w14:textId="0FAED4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1BBB" w14:textId="04FC4B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</w:tr>
      <w:tr w:rsidR="00272BC6" w:rsidRPr="00272BC6" w14:paraId="4535EE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059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B8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CC7D" w14:textId="0EE714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815E" w14:textId="30C3E1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E88F" w14:textId="223A04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A7FD" w14:textId="6E5F5C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806E" w14:textId="39598F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1,773,906.50 </w:t>
            </w:r>
          </w:p>
        </w:tc>
      </w:tr>
      <w:tr w:rsidR="00272BC6" w:rsidRPr="00272BC6" w14:paraId="004042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ADF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14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5850" w14:textId="37A022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CB14" w14:textId="2BB84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EAC30" w14:textId="54C606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72D2" w14:textId="47D1B2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C3C6" w14:textId="73C381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</w:tr>
      <w:tr w:rsidR="00272BC6" w:rsidRPr="00272BC6" w14:paraId="659B6F5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2D0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A4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0AAA" w14:textId="03AA96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EB2F" w14:textId="46E67E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826,887.00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323A" w14:textId="3E5876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D833" w14:textId="64BB8E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0368" w14:textId="24670C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963,387.00 </w:t>
            </w:r>
          </w:p>
        </w:tc>
      </w:tr>
      <w:tr w:rsidR="00272BC6" w:rsidRPr="00272BC6" w14:paraId="03DC6B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A5B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FE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A5A5" w14:textId="736CF4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8BC0" w14:textId="7B9C91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462,306.50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124E" w14:textId="59B729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EDBD" w14:textId="5FAE0B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365D" w14:textId="314961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559,099.00 </w:t>
            </w:r>
          </w:p>
        </w:tc>
      </w:tr>
      <w:tr w:rsidR="00272BC6" w:rsidRPr="00272BC6" w14:paraId="51C556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D10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4E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9BAA" w14:textId="7F7517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8166" w14:textId="74A8A7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4,467,300.00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328C" w14:textId="34E694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EE85" w14:textId="0869D4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06A1" w14:textId="11C83F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4,467,300.00 </w:t>
            </w:r>
          </w:p>
        </w:tc>
      </w:tr>
      <w:tr w:rsidR="00272BC6" w:rsidRPr="00272BC6" w14:paraId="4547DF4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2616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6C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2AD1" w14:textId="7865C7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8692" w14:textId="478A76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4,613,730.00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3F38" w14:textId="51644D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1951" w14:textId="71E65E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A0753" w14:textId="451911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4,768,150.00 </w:t>
            </w:r>
          </w:p>
        </w:tc>
      </w:tr>
      <w:tr w:rsidR="00272BC6" w:rsidRPr="00272BC6" w14:paraId="04BF88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CB4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F9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C07E" w14:textId="680F6C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655D" w14:textId="57BEF5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2,885,148.00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4E1E" w14:textId="30C835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A9E" w14:textId="43B9B0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4173" w14:textId="3ADAF1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2,885,148.00 </w:t>
            </w:r>
          </w:p>
        </w:tc>
      </w:tr>
      <w:tr w:rsidR="00272BC6" w:rsidRPr="00272BC6" w14:paraId="0D7CA7E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C12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BC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2620" w14:textId="550442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6034" w14:textId="02997E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3,695,295.00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AF24" w14:textId="32EE1B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C27B" w14:textId="7CCDBA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D0AF" w14:textId="5FC42D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3,797,929.00 </w:t>
            </w:r>
          </w:p>
        </w:tc>
      </w:tr>
      <w:tr w:rsidR="00272BC6" w:rsidRPr="00272BC6" w14:paraId="61D11C3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2636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EE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08D6" w14:textId="110358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EF61" w14:textId="3FF212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3CD2" w14:textId="66A913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234D" w14:textId="1868D6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00BD" w14:textId="2E0DB8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272BC6" w:rsidRPr="00272BC6" w14:paraId="41E4F6D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538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3B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1E1A" w14:textId="4339C5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9420" w14:textId="463CD9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70CE" w14:textId="7377EB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17F3A" w14:textId="2051E8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BF99" w14:textId="3A4856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</w:tr>
      <w:tr w:rsidR="00272BC6" w:rsidRPr="00272BC6" w14:paraId="7164D13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9B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02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E435" w14:textId="2D7BB9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96FF" w14:textId="4CE6DC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BB5B" w14:textId="15C885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82AE" w14:textId="257114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00E9" w14:textId="7480A4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</w:tr>
      <w:tr w:rsidR="00272BC6" w:rsidRPr="00272BC6" w14:paraId="39897E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44B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AF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347E" w14:textId="2487E9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A0AB" w14:textId="228D3B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70E6" w14:textId="75C488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0AE9" w14:textId="66A2B3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6116" w14:textId="4EA1FE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</w:tr>
      <w:tr w:rsidR="00272BC6" w:rsidRPr="00272BC6" w14:paraId="51C1969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C8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D2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1F25" w14:textId="5604A6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B4F2" w14:textId="0978C3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1,813,700.85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6DF8" w14:textId="42D539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BCEE" w14:textId="161484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B76C" w14:textId="1EBC96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2,009,235.85 </w:t>
            </w:r>
          </w:p>
        </w:tc>
      </w:tr>
      <w:tr w:rsidR="00272BC6" w:rsidRPr="00272BC6" w14:paraId="47B1FE5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A9E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71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0A0F" w14:textId="390428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9359" w14:textId="517565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BC7D" w14:textId="459B2A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C453" w14:textId="6166F4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97D7" w14:textId="1ECC8B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</w:tr>
      <w:tr w:rsidR="00272BC6" w:rsidRPr="00272BC6" w14:paraId="672F50B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6B3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37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9B5E" w14:textId="53B899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4BE1" w14:textId="21660E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761,323.82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AB58" w14:textId="792EE5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EFB7" w14:textId="0924B3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016B" w14:textId="31A96D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902,113.64 </w:t>
            </w:r>
          </w:p>
        </w:tc>
      </w:tr>
      <w:tr w:rsidR="00272BC6" w:rsidRPr="00272BC6" w14:paraId="755FE6E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87D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0D5F5" w14:textId="5D2C45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7,924,272.59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CC82F" w14:textId="5B771E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43,201,944.30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8850C" w14:textId="7C6683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4EC42" w14:textId="614605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288414" w14:textId="247D30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52,707,416.89 </w:t>
            </w:r>
          </w:p>
        </w:tc>
      </w:tr>
      <w:tr w:rsidR="00272BC6" w:rsidRPr="00272BC6" w14:paraId="6367204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929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D09C" w14:textId="7B40EE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3,600,235.61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DAB2" w14:textId="5CD164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B966" w14:textId="2E71FC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7CFB" w14:textId="0E82DC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9DFF" w14:textId="4E15C3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3,600,235.61 </w:t>
            </w:r>
          </w:p>
        </w:tc>
      </w:tr>
      <w:tr w:rsidR="00272BC6" w:rsidRPr="00272BC6" w14:paraId="51A8FFD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EC3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03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6138" w14:textId="57EFEB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604A" w14:textId="4242DE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9A2D" w14:textId="40C88A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7907" w14:textId="67EF90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EE3A" w14:textId="36D18C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309,998.44 </w:t>
            </w:r>
          </w:p>
        </w:tc>
      </w:tr>
      <w:tr w:rsidR="00272BC6" w:rsidRPr="00272BC6" w14:paraId="25935CB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C7E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7E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E54F" w14:textId="5895A6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04E7" w14:textId="355A04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2,327,650.00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FFD6" w14:textId="33586E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A07D" w14:textId="579AEA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BCE4" w14:textId="315C37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2,858,707.64 </w:t>
            </w:r>
          </w:p>
        </w:tc>
      </w:tr>
      <w:tr w:rsidR="00272BC6" w:rsidRPr="00272BC6" w14:paraId="754124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94C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BA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D796" w14:textId="294815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69CA" w14:textId="4D406D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1,312,170.00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2B20" w14:textId="4D35CA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1BB5" w14:textId="3B1943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A141" w14:textId="71EF36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1,437,383.48 </w:t>
            </w:r>
          </w:p>
        </w:tc>
      </w:tr>
      <w:tr w:rsidR="00272BC6" w:rsidRPr="00272BC6" w14:paraId="7CAA31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D1B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6C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8E12" w14:textId="45A09A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13D7" w14:textId="446797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2,581,544.00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0E00" w14:textId="494282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E93E" w14:textId="3D76E3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E828" w14:textId="7CCDB0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2,788,216.72 </w:t>
            </w:r>
          </w:p>
        </w:tc>
      </w:tr>
      <w:tr w:rsidR="00272BC6" w:rsidRPr="00272BC6" w14:paraId="246326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50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95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E348" w14:textId="4DF43C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16A6" w14:textId="725102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9,318,575.00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C1CF" w14:textId="1BE4DD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046E" w14:textId="27E47B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CED2" w14:textId="47A157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10,147,169.62 </w:t>
            </w:r>
          </w:p>
        </w:tc>
      </w:tr>
      <w:tr w:rsidR="00272BC6" w:rsidRPr="00272BC6" w14:paraId="54C019A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80E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52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E7C8" w14:textId="66046A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D685" w14:textId="4187E5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2,699,050.00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979D" w14:textId="41D743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4012" w14:textId="49F3FE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CACE" w14:textId="35506D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3,747,162.24 </w:t>
            </w:r>
          </w:p>
        </w:tc>
      </w:tr>
      <w:tr w:rsidR="00272BC6" w:rsidRPr="00272BC6" w14:paraId="4601B0B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F2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6D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8623" w14:textId="2FA439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446,030.00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E9EC" w14:textId="71C8E7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5,495,950.00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CA4A" w14:textId="401B93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64A1" w14:textId="141E15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561E" w14:textId="1A5BA6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6,193,980.00 </w:t>
            </w:r>
          </w:p>
        </w:tc>
      </w:tr>
      <w:tr w:rsidR="00272BC6" w:rsidRPr="00272BC6" w14:paraId="32FF9EB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6159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B8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5F6E" w14:textId="5B1908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F772" w14:textId="0F43EC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3,152,700.00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AD3F" w14:textId="33E65A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4C1D" w14:textId="390C85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C2AF" w14:textId="25635E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3,434,796.88 </w:t>
            </w:r>
          </w:p>
        </w:tc>
      </w:tr>
      <w:tr w:rsidR="00272BC6" w:rsidRPr="00272BC6" w14:paraId="31E0D93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8EF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23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014A" w14:textId="482FD6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5EE1" w14:textId="3160EE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C644" w14:textId="1376C4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E117" w14:textId="131BCD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06A6" w14:textId="7F0906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1,664,532.92 </w:t>
            </w:r>
          </w:p>
        </w:tc>
      </w:tr>
      <w:tr w:rsidR="00272BC6" w:rsidRPr="00272BC6" w14:paraId="500259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A9E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D2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53FA" w14:textId="12859B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D7A" w14:textId="5A0B7C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08E1" w14:textId="27C783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6520" w14:textId="6461B4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37BD" w14:textId="51405E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272BC6" w:rsidRPr="00272BC6" w14:paraId="46B823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0B4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70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D990" w14:textId="5DF9AB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3D88" w14:textId="316F29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3,065,400.00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6A8A" w14:textId="5B637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0BC5" w14:textId="361732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6407" w14:textId="3DA1DF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3,361,600.00 </w:t>
            </w:r>
          </w:p>
        </w:tc>
      </w:tr>
      <w:tr w:rsidR="00272BC6" w:rsidRPr="00272BC6" w14:paraId="48F1656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07A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D2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5247" w14:textId="2A7CF5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590,162.08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5545" w14:textId="202BC9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0C10" w14:textId="7AED32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8D09" w14:textId="0F63C6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A08F" w14:textId="1B5B48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3,090,162.08 </w:t>
            </w:r>
          </w:p>
        </w:tc>
      </w:tr>
      <w:tr w:rsidR="00272BC6" w:rsidRPr="00272BC6" w14:paraId="4F602B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B86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EF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0C21" w14:textId="44EF5A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44C0" w14:textId="2065E2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188,166.00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4FD7" w14:textId="7D520F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DFFE" w14:textId="7EBFCF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FAE7" w14:textId="6EA1D1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325,402.32 </w:t>
            </w:r>
          </w:p>
        </w:tc>
      </w:tr>
      <w:tr w:rsidR="00272BC6" w:rsidRPr="00272BC6" w14:paraId="1D95B53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E3D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2A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5A45" w14:textId="179AF8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DBA2" w14:textId="537001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DC7F" w14:textId="60A945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DDB6" w14:textId="171240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6655" w14:textId="0A93B4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</w:tr>
      <w:tr w:rsidR="00272BC6" w:rsidRPr="00272BC6" w14:paraId="47F017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55C1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B9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1FCE" w14:textId="1215DA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E618" w14:textId="4E3308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8,778,239.30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12C5" w14:textId="313BC7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C032" w14:textId="4610D0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1395" w14:textId="0BCF89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9,428,068.94 </w:t>
            </w:r>
          </w:p>
        </w:tc>
      </w:tr>
      <w:tr w:rsidR="00272BC6" w:rsidRPr="00272BC6" w14:paraId="194EBEF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C8BB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BEFFA9" w14:textId="30EB1E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54,216,891.97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62ABBF" w14:textId="24131D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141,030,667.37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637E73" w14:textId="323087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F6E73B" w14:textId="3C9733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119A07" w14:textId="5BFF60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195,850,709.34 </w:t>
            </w:r>
          </w:p>
        </w:tc>
      </w:tr>
      <w:tr w:rsidR="00272BC6" w:rsidRPr="00272BC6" w14:paraId="4E671966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185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5C92E3" w14:textId="5AAFCE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5,930,829.50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BD0EE" w14:textId="28874F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26,274,545.70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0AF25C" w14:textId="43798E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07A3B" w14:textId="530422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E015D" w14:textId="22797D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32,483,125.20 </w:t>
            </w:r>
          </w:p>
        </w:tc>
      </w:tr>
      <w:tr w:rsidR="00272BC6" w:rsidRPr="00272BC6" w14:paraId="2B70DF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640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6E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E5E1" w14:textId="22956F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E2F1" w14:textId="01CF4C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41A5" w14:textId="7C5FFE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27CA" w14:textId="057606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49D9" w14:textId="1791A4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146F6C2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8D7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A5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A163" w14:textId="0CE5E3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393E" w14:textId="40F1D4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D70A" w14:textId="3D5689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7A78" w14:textId="16E7DD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0D48" w14:textId="7A18A3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7F3040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41A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41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F76E" w14:textId="385DD7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14B2" w14:textId="41A7FB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D36C" w14:textId="776148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9924" w14:textId="7B8646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0225" w14:textId="0EA6E9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272BC6" w:rsidRPr="00272BC6" w14:paraId="6B9C8DB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DA5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24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3B10" w14:textId="07ACAF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94CD" w14:textId="523421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6675" w14:textId="7E058F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80FA" w14:textId="7FBC91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D4EE" w14:textId="0D5170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7,057,750.00 </w:t>
            </w:r>
          </w:p>
        </w:tc>
      </w:tr>
      <w:tr w:rsidR="00272BC6" w:rsidRPr="00272BC6" w14:paraId="7CF2D9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4BA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32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5B86" w14:textId="239F14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D6C9" w14:textId="43D445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8BD9" w14:textId="3BEB7B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F1D4" w14:textId="713879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1E5F" w14:textId="176199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</w:tr>
      <w:tr w:rsidR="00272BC6" w:rsidRPr="00272BC6" w14:paraId="3FF594F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F36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CA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5AAF1" w14:textId="49CB5B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293,662.50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C17B" w14:textId="3C70F6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6,313,063.50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7508" w14:textId="20A6E2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9CBC" w14:textId="22B4DD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9032" w14:textId="153F01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6,606,726.00 </w:t>
            </w:r>
          </w:p>
        </w:tc>
      </w:tr>
      <w:tr w:rsidR="00272BC6" w:rsidRPr="00272BC6" w14:paraId="4877448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E0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22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B81E" w14:textId="3CB657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2ECA" w14:textId="7A5D13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D7B3" w14:textId="73F430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991C" w14:textId="4F8976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B206" w14:textId="3D1327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23E4D6A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D4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AA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9051" w14:textId="075C61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3B49" w14:textId="4E4E2E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3,085,993.90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1A6B" w14:textId="76834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2581" w14:textId="2B4EA4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AD43" w14:textId="330CC9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3,484,493.90 </w:t>
            </w:r>
          </w:p>
        </w:tc>
      </w:tr>
      <w:tr w:rsidR="00272BC6" w:rsidRPr="00272BC6" w14:paraId="32E6A19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B3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AE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6271" w14:textId="7443B0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4CB6" w14:textId="046FDE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BCC7" w14:textId="75B7E2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1640" w14:textId="62954C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8E1D" w14:textId="047811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</w:tr>
      <w:tr w:rsidR="00272BC6" w:rsidRPr="00272BC6" w14:paraId="34E87C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DF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7C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DC72" w14:textId="0A3F4F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BC15" w14:textId="3BE05A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5417" w14:textId="2F3A34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A9D65" w14:textId="47C9BF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F784" w14:textId="6642C6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272BC6" w:rsidRPr="00272BC6" w14:paraId="5D8418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F3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E1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A29E" w14:textId="6280E6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649C" w14:textId="35696D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1,619,331.30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8D03" w14:textId="3BFB90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8BD9" w14:textId="74C309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E2EA" w14:textId="3C3032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1,835,331.30 </w:t>
            </w:r>
          </w:p>
        </w:tc>
      </w:tr>
      <w:tr w:rsidR="00272BC6" w:rsidRPr="00272BC6" w14:paraId="0DE25A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89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DE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5FF3" w14:textId="6ED026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C8B1" w14:textId="59097C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8DA" w14:textId="10908A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B923" w14:textId="2BB47E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2398" w14:textId="0889D4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669B38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DA4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3D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A2FE" w14:textId="4832AD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ADDB" w14:textId="6C26B0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8,656,157.00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A49D" w14:textId="1F5E45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171D" w14:textId="736B54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ABF3" w14:textId="22520F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8,983,497.00 </w:t>
            </w:r>
          </w:p>
        </w:tc>
      </w:tr>
      <w:tr w:rsidR="00272BC6" w:rsidRPr="00272BC6" w14:paraId="448F673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110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3B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E8E7" w14:textId="70B840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AFF3" w14:textId="5164A1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C26F" w14:textId="6C7CCE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0F44" w14:textId="79B1CD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6F9B" w14:textId="18DA07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</w:tr>
      <w:tr w:rsidR="00272BC6" w:rsidRPr="00272BC6" w14:paraId="2E980A73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7CE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4019A" w14:textId="5BB80D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6,964,737.10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E3F8D" w14:textId="63E65C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30,537,302.00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8A617" w14:textId="3B9D2A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189E18" w14:textId="6552AA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5BB1D" w14:textId="34FF89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37,777,439.10 </w:t>
            </w:r>
          </w:p>
        </w:tc>
      </w:tr>
      <w:tr w:rsidR="00272BC6" w:rsidRPr="00272BC6" w14:paraId="333613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599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0E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046E" w14:textId="50E8D3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BF29" w14:textId="36330B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6182" w14:textId="096295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9B5C" w14:textId="3164BD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D7CF" w14:textId="10FE97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</w:tr>
      <w:tr w:rsidR="00272BC6" w:rsidRPr="00272BC6" w14:paraId="2F3AF7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37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973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7D08" w14:textId="4E7CDD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458,800.00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7F56" w14:textId="32379E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E182" w14:textId="4F384A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F4D9" w14:textId="425148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DA4A" w14:textId="191C9A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458,800.00 </w:t>
            </w:r>
          </w:p>
        </w:tc>
      </w:tr>
      <w:tr w:rsidR="00272BC6" w:rsidRPr="00272BC6" w14:paraId="11473E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AE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CB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3D3B" w14:textId="28D71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DFAB" w14:textId="50C885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77CA" w14:textId="17D7B4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63F6" w14:textId="3DC49D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BD91" w14:textId="16E90A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3364DCE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2411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443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51AF" w14:textId="3D35BC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474,035.00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9BC4" w14:textId="681E9C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64FA" w14:textId="16D68A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9C32" w14:textId="0472BD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E7AE" w14:textId="161DCE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474,035.00 </w:t>
            </w:r>
          </w:p>
        </w:tc>
      </w:tr>
      <w:tr w:rsidR="00272BC6" w:rsidRPr="00272BC6" w14:paraId="35DCF5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C13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AA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F909" w14:textId="6ACF8C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450,850.00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9B4C" w14:textId="64EA68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81F6" w14:textId="4766EF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7B8D" w14:textId="3CB67C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D179" w14:textId="384BB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450,850.00 </w:t>
            </w:r>
          </w:p>
        </w:tc>
      </w:tr>
      <w:tr w:rsidR="00272BC6" w:rsidRPr="00272BC6" w14:paraId="4D22D55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455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42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6A22" w14:textId="104521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55D9" w14:textId="571AF0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43,920.00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21D9" w14:textId="2D5EA4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6EA1" w14:textId="221D7D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F1F9" w14:textId="76B33B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</w:tr>
      <w:tr w:rsidR="00272BC6" w:rsidRPr="00272BC6" w14:paraId="4B140F2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F5C6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71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D165" w14:textId="192414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E2B7" w14:textId="2B88F8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4F50" w14:textId="27B567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78D2" w14:textId="12E5FC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D214" w14:textId="606B74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448,200.00 </w:t>
            </w:r>
          </w:p>
        </w:tc>
      </w:tr>
      <w:tr w:rsidR="00272BC6" w:rsidRPr="00272BC6" w14:paraId="508BA9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702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41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BB78" w14:textId="67C563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EEC5" w14:textId="65C3C0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10,220,400.00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BEED" w14:textId="1F3F01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6F41" w14:textId="212272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CC55" w14:textId="7CA339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10,850,800.00 </w:t>
            </w:r>
          </w:p>
        </w:tc>
      </w:tr>
      <w:tr w:rsidR="00272BC6" w:rsidRPr="00272BC6" w14:paraId="79C1021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DFD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7E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3110" w14:textId="5C9E19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2201" w14:textId="39B0E6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3,738,640.00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6F7C" w14:textId="36D687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A9E9" w14:textId="3D356D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1C86" w14:textId="41547E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4,186,840.00 </w:t>
            </w:r>
          </w:p>
        </w:tc>
      </w:tr>
      <w:tr w:rsidR="00272BC6" w:rsidRPr="00272BC6" w14:paraId="189C0A3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A1C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C3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3240" w14:textId="2E6661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437,529.10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C919" w14:textId="669A58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83B2" w14:textId="45B47F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25AB" w14:textId="1CF200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0170" w14:textId="18F891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437,529.10 </w:t>
            </w:r>
          </w:p>
        </w:tc>
      </w:tr>
      <w:tr w:rsidR="00272BC6" w:rsidRPr="00272BC6" w14:paraId="68B3175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1BD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BE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5203" w14:textId="295176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2B16" w14:textId="3AF8EA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B759" w14:textId="26518A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8854" w14:textId="772C80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E4CB" w14:textId="6342D9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272BC6" w:rsidRPr="00272BC6" w14:paraId="18877DD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325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F8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8573" w14:textId="271438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4F16" w14:textId="10FC11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13,997,184.00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F5AE" w14:textId="29011C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E342" w14:textId="32B26C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4D05" w14:textId="620A08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14,599,692.00 </w:t>
            </w:r>
          </w:p>
        </w:tc>
      </w:tr>
      <w:tr w:rsidR="00272BC6" w:rsidRPr="00272BC6" w14:paraId="1E9234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2EC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BD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4083" w14:textId="1E6778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C145" w14:textId="2ED832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728B" w14:textId="2CC5E7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2FB7" w14:textId="570380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4490" w14:textId="003D48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272BC6" w:rsidRPr="00272BC6" w14:paraId="60330E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A4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21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9953" w14:textId="41B5B8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C90A" w14:textId="3EEA96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2,537,158.00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4DD7" w14:textId="462B11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F657" w14:textId="6F60AC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3B27" w14:textId="6663E8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2,828,348.00 </w:t>
            </w:r>
          </w:p>
        </w:tc>
      </w:tr>
      <w:tr w:rsidR="00272BC6" w:rsidRPr="00272BC6" w14:paraId="60EAB8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15A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41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EFC5" w14:textId="120366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4F7A" w14:textId="6E967D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DF46" w14:textId="510337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661B" w14:textId="5A577B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064E" w14:textId="00FDA3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656,675.00 </w:t>
            </w:r>
          </w:p>
        </w:tc>
      </w:tr>
      <w:tr w:rsidR="00272BC6" w:rsidRPr="00272BC6" w14:paraId="6004937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F66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DEB054" w14:textId="422EA0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8,769,142.75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F7E1B" w14:textId="7063B8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32,858,423.67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58164" w14:textId="2316D6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199EA" w14:textId="642099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6A95E0" w14:textId="52F106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41,627,566.42 </w:t>
            </w:r>
          </w:p>
        </w:tc>
      </w:tr>
      <w:tr w:rsidR="00272BC6" w:rsidRPr="00272BC6" w14:paraId="4A876D6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ABF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5E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5458" w14:textId="71D188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8365" w14:textId="674E9F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81D9" w14:textId="3AC746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389A" w14:textId="366AA1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2C75" w14:textId="0C6A60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1,762,500.00 </w:t>
            </w:r>
          </w:p>
        </w:tc>
      </w:tr>
      <w:tr w:rsidR="00272BC6" w:rsidRPr="00272BC6" w14:paraId="20F09E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CED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BB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CC14" w14:textId="4CCA1E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D5C9" w14:textId="336D81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548B" w14:textId="5BB481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07C7" w14:textId="5761B1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285E" w14:textId="2E6C47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1A0DC3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D74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07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ADA8" w14:textId="03A92C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CB1D" w14:textId="3496AD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1,938,250.00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0382" w14:textId="3B1667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6241" w14:textId="6D2050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0AC9" w14:textId="1C3F2A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2,398,697.75 </w:t>
            </w:r>
          </w:p>
        </w:tc>
      </w:tr>
      <w:tr w:rsidR="00272BC6" w:rsidRPr="00272BC6" w14:paraId="08E98E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395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E9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13C8" w14:textId="49312A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B213" w14:textId="7E8CDB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7B9D" w14:textId="66A530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016A" w14:textId="4D438C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0F03" w14:textId="5D7813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</w:tr>
      <w:tr w:rsidR="00272BC6" w:rsidRPr="00272BC6" w14:paraId="6BF079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A13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06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B671" w14:textId="119EEA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CE50" w14:textId="3B35F5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7,314,600.00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B4EB" w14:textId="048D74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7DC1" w14:textId="4A78D8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1B9F" w14:textId="27A888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9,573,885.00 </w:t>
            </w:r>
          </w:p>
        </w:tc>
      </w:tr>
      <w:tr w:rsidR="00272BC6" w:rsidRPr="00272BC6" w14:paraId="75E2CF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8D6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F2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A292" w14:textId="2A597B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98ED" w14:textId="67CEFE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15,319,273.67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866E" w14:textId="4EC457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E4A1" w14:textId="670834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D6F2" w14:textId="027B39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15,679,273.67 </w:t>
            </w:r>
          </w:p>
        </w:tc>
      </w:tr>
      <w:tr w:rsidR="00272BC6" w:rsidRPr="00272BC6" w14:paraId="73FDCE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22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EA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4CB5" w14:textId="446D69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B703" w14:textId="596531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C037" w14:textId="2AA844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B474" w14:textId="58937D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A201" w14:textId="5D63C4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272BC6" w:rsidRPr="00272BC6" w14:paraId="77F14DF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2A2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E8F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9EA8" w14:textId="55EA51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52B9" w14:textId="5D58A9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45D1" w14:textId="230410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4F20" w14:textId="2193B6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3D30" w14:textId="316919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272BC6" w:rsidRPr="00272BC6" w14:paraId="0E7A74C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94D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E4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0E7A" w14:textId="5C1354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66FD" w14:textId="6A78B2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1,571,650.00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DDBE" w14:textId="2EFAF5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6FBC" w14:textId="56BCDA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2B22" w14:textId="45D122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1,931,650.00 </w:t>
            </w:r>
          </w:p>
        </w:tc>
      </w:tr>
      <w:tr w:rsidR="00272BC6" w:rsidRPr="00272BC6" w14:paraId="4B2236F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F67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F4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9CB5" w14:textId="66E0A2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B5DA" w14:textId="08BA05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4DD4" w14:textId="218D1B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8B7D" w14:textId="5B622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3392" w14:textId="2BC02D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</w:tr>
      <w:tr w:rsidR="00272BC6" w:rsidRPr="00272BC6" w14:paraId="1FD03F5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79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FF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8F78" w14:textId="74A4BE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AA63" w14:textId="327EF1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6FDC" w14:textId="53C544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00DF" w14:textId="549024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3C75" w14:textId="6071CD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272BC6" w:rsidRPr="00272BC6" w14:paraId="645057C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B3A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CD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0158" w14:textId="137E5C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854D" w14:textId="18552B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D03C" w14:textId="791431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71FA" w14:textId="1C9A1E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580B" w14:textId="4F17AE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0A3ECEE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3D5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98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AC11" w14:textId="0A9825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0C59" w14:textId="12291F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5,314,650.00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9C0F" w14:textId="6D7DD8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A3D" w14:textId="5F2C1C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C83F" w14:textId="355F5F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5,677,150.00 </w:t>
            </w:r>
          </w:p>
        </w:tc>
      </w:tr>
      <w:tr w:rsidR="00272BC6" w:rsidRPr="00272BC6" w14:paraId="67A3480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499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BB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884F" w14:textId="7E936F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2C2C" w14:textId="613C45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55ED" w14:textId="2AAFD6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294" w14:textId="2BEAD7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9B6C" w14:textId="6B697B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272BC6" w:rsidRPr="00272BC6" w14:paraId="446E5A8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7E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36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C0A8" w14:textId="6181B3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B21E" w14:textId="4B4DD3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EE81" w14:textId="02C49C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C141" w14:textId="546BFE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8DCB" w14:textId="33E710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745,010.00 </w:t>
            </w:r>
          </w:p>
        </w:tc>
      </w:tr>
      <w:tr w:rsidR="00272BC6" w:rsidRPr="00272BC6" w14:paraId="589CF1B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470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7B93D" w14:textId="17FBD6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2,106,500.00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A3300" w14:textId="585FF7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20,922,806.00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358AC" w14:textId="166753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D97DF" w14:textId="33D316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83A9A" w14:textId="5CA68A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23,029,306.00 </w:t>
            </w:r>
          </w:p>
        </w:tc>
      </w:tr>
      <w:tr w:rsidR="00272BC6" w:rsidRPr="00272BC6" w14:paraId="5CD12B7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2C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03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5C69" w14:textId="6985B3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431,740.00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D76C" w14:textId="3BAAD2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7,771,500.00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3BAC" w14:textId="07E587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35FD" w14:textId="6B4DC0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F22C" w14:textId="6311AE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8,203,240.00 </w:t>
            </w:r>
          </w:p>
        </w:tc>
      </w:tr>
      <w:tr w:rsidR="00272BC6" w:rsidRPr="00272BC6" w14:paraId="111430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E72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A11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CBEF" w14:textId="1AB2BE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89F6" w14:textId="333753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58D8" w14:textId="08CCC2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0BF8" w14:textId="0DAF5C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F719" w14:textId="003C7B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272BC6" w:rsidRPr="00272BC6" w14:paraId="223D38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5F2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823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F085" w14:textId="5166A9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459,790.00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E50D" w14:textId="04772D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13,151,306.00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E92D" w14:textId="1B2F73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7228" w14:textId="01EEA9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70D3" w14:textId="6D9F5F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13,611,096.00 </w:t>
            </w:r>
          </w:p>
        </w:tc>
      </w:tr>
      <w:tr w:rsidR="00272BC6" w:rsidRPr="00272BC6" w14:paraId="31F441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D20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67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A03D" w14:textId="6E3AB4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0C51" w14:textId="0F112F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5631" w14:textId="093D4E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7CAE" w14:textId="680B89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E1BF" w14:textId="22BF5C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272BC6" w:rsidRPr="00272BC6" w14:paraId="5833074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60D2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B1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A372" w14:textId="33AB67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3157" w14:textId="0DB112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CA26" w14:textId="2CDF0E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CAE0" w14:textId="640C50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E09F" w14:textId="2E9764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272BC6" w:rsidRPr="00272BC6" w14:paraId="2D33D33E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C29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02DF9" w14:textId="7BC440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20,794,442.62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B07E93" w14:textId="5CC28F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13,750,050.00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F4B46D" w14:textId="36444E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AB070" w14:textId="440B9B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F6F76" w14:textId="21023B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34,594,492.62 </w:t>
            </w:r>
          </w:p>
        </w:tc>
      </w:tr>
      <w:tr w:rsidR="00272BC6" w:rsidRPr="00272BC6" w14:paraId="28F43A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BAF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F1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8739" w14:textId="518026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6FC5" w14:textId="2EE993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BF25" w14:textId="474E5B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BB78" w14:textId="78160E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B9F1" w14:textId="1ECB1F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272BC6" w:rsidRPr="00272BC6" w14:paraId="2A3B545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5D2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ED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8EAA" w14:textId="3A1068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BCDE" w14:textId="4D8235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5176" w14:textId="62D71F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FA47" w14:textId="65A091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4A89" w14:textId="5BED4E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272BC6" w:rsidRPr="00272BC6" w14:paraId="32A3704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E8C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CB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1EA5" w14:textId="39A7A4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80C0" w14:textId="14BBF9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134D" w14:textId="2607C1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4ABD" w14:textId="6C7E88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FF5D" w14:textId="144119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77E111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7E1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3B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B4AA" w14:textId="2F382E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9667" w14:textId="0DC3C6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D38C" w14:textId="4F9E9E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6B70" w14:textId="4A4003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8FC3" w14:textId="2BB505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272BC6" w:rsidRPr="00272BC6" w14:paraId="45751DF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82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C1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6E4" w14:textId="44FED2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1519" w14:textId="568ADC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4BFA" w14:textId="62BF2A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A53D" w14:textId="00BC67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F2E4" w14:textId="2E50FC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9,728,000.00 </w:t>
            </w:r>
          </w:p>
        </w:tc>
      </w:tr>
      <w:tr w:rsidR="00272BC6" w:rsidRPr="00272BC6" w14:paraId="1E22C19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AB6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F0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00AB" w14:textId="4A8ED0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6F9E" w14:textId="3A6CCE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F5E3" w14:textId="2C245F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D81D" w14:textId="40E5B6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916C" w14:textId="0B62B0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511,640.00 </w:t>
            </w:r>
          </w:p>
        </w:tc>
      </w:tr>
      <w:tr w:rsidR="00272BC6" w:rsidRPr="00272BC6" w14:paraId="7048DB7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A74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B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E132" w14:textId="173AA0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2809" w14:textId="53FB98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B842" w14:textId="7FE2B0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B7C3" w14:textId="629369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6A04" w14:textId="185833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7967344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75C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CF8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67FB" w14:textId="6594A5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E983" w14:textId="1D81F8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44EC" w14:textId="2EE582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CECD" w14:textId="6EC613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69BC" w14:textId="7D77D8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2CC2F0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D5F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B9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A406" w14:textId="46B1C5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3E4B" w14:textId="7D1B94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7AFE" w14:textId="01E6E4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4182" w14:textId="18ECDD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ECE6" w14:textId="1A2505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272BC6" w:rsidRPr="00272BC6" w14:paraId="33CDD26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B9E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9F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B91D" w14:textId="1EB8BA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8234" w14:textId="7B6BFA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B153" w14:textId="36F962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8BFA" w14:textId="2ACDC0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D2F6" w14:textId="111F00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272BC6" w:rsidRPr="00272BC6" w14:paraId="2F3E373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C90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1A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DAE8" w14:textId="4969B4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6,394,300.00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D058" w14:textId="4ED206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4,215,250.00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A68C" w14:textId="5D09A6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15E2" w14:textId="3479C9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74D1" w14:textId="613C83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10,609,550.00 </w:t>
            </w:r>
          </w:p>
        </w:tc>
      </w:tr>
      <w:tr w:rsidR="00272BC6" w:rsidRPr="00272BC6" w14:paraId="14EAB6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80E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4C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A039" w14:textId="752EDD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60BB" w14:textId="312B48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BE5A" w14:textId="3EFCB9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4310" w14:textId="6F15DA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7169" w14:textId="3064E9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272BC6" w:rsidRPr="00272BC6" w14:paraId="2BCF13F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C8D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F0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5FA6" w14:textId="512A15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2D1B" w14:textId="32C66C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61C9" w14:textId="495B3C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5B52" w14:textId="011327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49EF" w14:textId="347EC5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272BC6" w:rsidRPr="00272BC6" w14:paraId="3D67ED0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CCE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6F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0EE7" w14:textId="37BABC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57F5" w14:textId="36F7B5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3A00" w14:textId="047B5D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16B3" w14:textId="6D0968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9EE0" w14:textId="2917E2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</w:tr>
      <w:tr w:rsidR="00272BC6" w:rsidRPr="00272BC6" w14:paraId="6EBB20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C6C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A1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58AE" w14:textId="62AEA2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FBE8" w14:textId="241B1E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ADF4" w14:textId="1E5912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25BB" w14:textId="190B54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6AB3" w14:textId="231AC7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272BC6" w:rsidRPr="00272BC6" w14:paraId="7B0077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24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4F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5038" w14:textId="4987DA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694F" w14:textId="57C54A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C3ED" w14:textId="7CFA33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5F32" w14:textId="7517BE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E3FF" w14:textId="1D033F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272BC6" w:rsidRPr="00272BC6" w14:paraId="4566A3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5E0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E3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55AA" w14:textId="76FAA0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3799" w14:textId="4AA0C7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B515" w14:textId="44CEB0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D1ED" w14:textId="050C33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64F21" w14:textId="3476E8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2283805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FBD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7D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FD14" w14:textId="57822A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D85B" w14:textId="458D44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1112" w14:textId="21ACDE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BC9A" w14:textId="22A718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2A59" w14:textId="7B0C09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272BC6" w:rsidRPr="00272BC6" w14:paraId="138D314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F1B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DA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0CC8" w14:textId="3640B1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3970" w14:textId="51CBB6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3CEE" w14:textId="52800D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35A1" w14:textId="7EE7D1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19AF" w14:textId="4A72F5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272BC6" w:rsidRPr="00272BC6" w14:paraId="7ED839F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76CE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59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CD99" w14:textId="27D344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838EE" w14:textId="60E27C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CDD6" w14:textId="16A595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809A" w14:textId="1AE037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896F" w14:textId="373B46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3BF7638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4C6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03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FDB2" w14:textId="158D62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7858" w14:textId="772E2D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AA46" w14:textId="02658C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2541" w14:textId="0AB21C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291F" w14:textId="26D814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272BC6" w:rsidRPr="00272BC6" w14:paraId="113C5A4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10C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08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FE7C" w14:textId="19D016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C2F8" w14:textId="6AC1E8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A1D2" w14:textId="420081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ED8C" w14:textId="271B42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023A" w14:textId="3157D1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272BC6" w:rsidRPr="00272BC6" w14:paraId="6A83875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FAB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8F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E5F1" w14:textId="292920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1416" w14:textId="31EB0D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590C" w14:textId="164C6B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FF05" w14:textId="2E13EF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3E9B" w14:textId="15C3A0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272BC6" w:rsidRPr="00272BC6" w14:paraId="43F1E0B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BF5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6D027" w14:textId="2EBFD8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9,651,240.00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C4B72" w14:textId="0C8F6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16,687,540.00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7481A" w14:textId="672999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5F8AC" w14:textId="03C90E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18F44" w14:textId="0AF86F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26,338,780.00 </w:t>
            </w:r>
          </w:p>
        </w:tc>
      </w:tr>
      <w:tr w:rsidR="00272BC6" w:rsidRPr="00272BC6" w14:paraId="1C0C52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5E0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FE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2940" w14:textId="07CEE0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551D" w14:textId="2DCAEF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23B6" w14:textId="3D807F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BF6E" w14:textId="072A5E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AF49" w14:textId="55E2EF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</w:tr>
      <w:tr w:rsidR="00272BC6" w:rsidRPr="00272BC6" w14:paraId="689E36F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876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35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D132" w14:textId="3F1A0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65AC" w14:textId="6EA02F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50BA" w14:textId="48EC09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AFDD" w14:textId="27604E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5EEC" w14:textId="7E5BD6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272BC6" w:rsidRPr="00272BC6" w14:paraId="439C54C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FE8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15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6253" w14:textId="0BC1B5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CFD5" w14:textId="454B7E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1BBC" w14:textId="24D5C2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D0B8" w14:textId="224E05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D904" w14:textId="6FC634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</w:tr>
      <w:tr w:rsidR="00272BC6" w:rsidRPr="00272BC6" w14:paraId="5415B5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E41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C2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8EEE" w14:textId="0C7F9A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FF8D" w14:textId="55E2FA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9BD1" w14:textId="654E7F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6CD4" w14:textId="6F26BE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DAEE" w14:textId="0D498A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43FE345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17B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EA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EFDD" w14:textId="23D101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A8A9" w14:textId="2BE620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2ECB" w14:textId="168FD4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DB97" w14:textId="3128ED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1262" w14:textId="66CE16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272BC6" w:rsidRPr="00272BC6" w14:paraId="4E39427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8F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93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4199" w14:textId="5AAAA1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9858" w14:textId="7E4FE0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1,307,890.00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5B4A" w14:textId="1DD285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C7FB" w14:textId="0847FF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8E19" w14:textId="592381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2,008,427.50 </w:t>
            </w:r>
          </w:p>
        </w:tc>
      </w:tr>
      <w:tr w:rsidR="00272BC6" w:rsidRPr="00272BC6" w14:paraId="11CA09E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C7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B4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5966" w14:textId="04C39D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6BC1" w14:textId="32F296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B2D1" w14:textId="4D8900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BE63" w14:textId="620EF1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BA39" w14:textId="0BB0A6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</w:tr>
      <w:tr w:rsidR="00272BC6" w:rsidRPr="00272BC6" w14:paraId="3E608A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C9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34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40A7" w14:textId="4DED85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F832" w14:textId="028DA7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727A" w14:textId="481D42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83C5" w14:textId="3CC93C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E10C" w14:textId="7A1758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1E936EE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E9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E1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F755" w14:textId="5B4A05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4728" w14:textId="0004C5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15,379,650.00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83C0" w14:textId="16D29A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3BC3" w14:textId="73CDDE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679C" w14:textId="2B91FA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16,228,530.00 </w:t>
            </w:r>
          </w:p>
        </w:tc>
      </w:tr>
      <w:tr w:rsidR="00272BC6" w:rsidRPr="00272BC6" w14:paraId="20AA6E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F9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C9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F686" w14:textId="12048F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4927" w14:textId="428DC4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01D0" w14:textId="349F35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3538" w14:textId="086AAB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8913" w14:textId="56B9BB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</w:tr>
      <w:tr w:rsidR="00272BC6" w:rsidRPr="00272BC6" w14:paraId="6D6DC5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B5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CA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19C7" w14:textId="4DA169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B72A" w14:textId="4604A4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B83A" w14:textId="10713B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471C" w14:textId="72D99D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E64B" w14:textId="48ACC1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272BC6" w:rsidRPr="00272BC6" w14:paraId="515C868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9F7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6F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6013" w14:textId="336BAF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9224" w14:textId="663A53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55BA" w14:textId="4E21FB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BB13" w14:textId="1654D7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C781" w14:textId="6EB493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506,210.00 </w:t>
            </w:r>
          </w:p>
        </w:tc>
      </w:tr>
      <w:tr w:rsidR="00272BC6" w:rsidRPr="00272BC6" w14:paraId="082585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49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BA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CECB" w14:textId="462F98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F2D4" w14:textId="16BAE1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6184" w14:textId="6497A0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EF21" w14:textId="5489E7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8739" w14:textId="4611C7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116B71B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C79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45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448C" w14:textId="3F0983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5BBE" w14:textId="16166F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5A4B" w14:textId="7241C0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E57C" w14:textId="34E949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91A6" w14:textId="5837EB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272BC6" w:rsidRPr="00272BC6" w14:paraId="43A56C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615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2C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53EA" w14:textId="17AAF9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05EF" w14:textId="1BD3FD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7811" w14:textId="6BFF0C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00A2" w14:textId="5DC7C1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4C99" w14:textId="4927AF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</w:tr>
      <w:tr w:rsidR="00272BC6" w:rsidRPr="00272BC6" w14:paraId="644F577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28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27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84A2" w14:textId="72714D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3369" w14:textId="0C1AC2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26F3" w14:textId="2F8ED8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1005" w14:textId="498CC6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5E32" w14:textId="2747CF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272BC6" w:rsidRPr="00272BC6" w14:paraId="192D76F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C40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9C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7166" w14:textId="009B7F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28DB" w14:textId="7A6192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0206" w14:textId="674A04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56F4" w14:textId="433650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A004" w14:textId="19BF3A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</w:tr>
      <w:tr w:rsidR="00272BC6" w:rsidRPr="00272BC6" w14:paraId="04D136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E6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37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476B" w14:textId="168355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C8D5" w14:textId="6AC067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820C" w14:textId="347862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EB10" w14:textId="75E20F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A373" w14:textId="66EEAE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</w:tr>
      <w:tr w:rsidR="00272BC6" w:rsidRPr="00272BC6" w14:paraId="4661F8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6C1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43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2DDC" w14:textId="60C65E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0AFE" w14:textId="043E9B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8358" w14:textId="3EC383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B557" w14:textId="6C79DE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936F" w14:textId="3178C8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22CF2B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EF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43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DEE5" w14:textId="4D6698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E6FD" w14:textId="14E4D0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42C3" w14:textId="02A8C2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1E49" w14:textId="1EC0E8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C27F" w14:textId="7E9C7A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272BC6" w:rsidRPr="00272BC6" w14:paraId="4CC414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00A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5E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E51B" w14:textId="623EDB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1500" w14:textId="78E64D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72D3" w14:textId="3C381A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C99D" w14:textId="34A894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7862" w14:textId="0C2C6E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</w:tr>
      <w:tr w:rsidR="00272BC6" w:rsidRPr="00272BC6" w14:paraId="104C5C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414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9B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66B8" w14:textId="4EEACA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5346" w14:textId="0B4116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6146" w14:textId="230D52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80C9" w14:textId="31A3C8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8E5D" w14:textId="675496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</w:tr>
      <w:tr w:rsidR="00272BC6" w:rsidRPr="00272BC6" w14:paraId="612406C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8494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76217" w14:textId="2C1CBB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81,872,750.99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AF136" w14:textId="4A64B3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C46AD3" w14:textId="47ECE2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43020F" w14:textId="7B32F2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B2D862" w14:textId="271390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455,072,750.99 </w:t>
            </w:r>
          </w:p>
        </w:tc>
      </w:tr>
      <w:tr w:rsidR="00272BC6" w:rsidRPr="00272BC6" w14:paraId="112F203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434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0079D6" w14:textId="67D17A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11,722,441.86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4EC934" w14:textId="5EC946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9AE27" w14:textId="6C9791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AD4F9" w14:textId="77B0FF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9473F" w14:textId="63014A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11,722,441.86 </w:t>
            </w:r>
          </w:p>
        </w:tc>
      </w:tr>
      <w:tr w:rsidR="00272BC6" w:rsidRPr="00272BC6" w14:paraId="7E13ECF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3C0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D69B" w14:textId="23C708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481,568.86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D49E" w14:textId="373ABC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A936" w14:textId="3F0E2B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4119" w14:textId="29E396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5D08" w14:textId="17AAE1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481,568.86 </w:t>
            </w:r>
          </w:p>
        </w:tc>
      </w:tr>
      <w:tr w:rsidR="00272BC6" w:rsidRPr="00272BC6" w14:paraId="2DA048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D76EA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7C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08F3" w14:textId="2C08B3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2F1E" w14:textId="157862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4766" w14:textId="52EB7D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E20F" w14:textId="10C10A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1BCC" w14:textId="7B1E7F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272BC6" w:rsidRPr="00272BC6" w14:paraId="214EEC2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AC7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24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D4C5" w14:textId="172279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278,280.00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51A6" w14:textId="1E2A4F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1D1B" w14:textId="13B76F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5971" w14:textId="04E26A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2C93" w14:textId="28DB83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278,280.00 </w:t>
            </w:r>
          </w:p>
        </w:tc>
      </w:tr>
      <w:tr w:rsidR="00272BC6" w:rsidRPr="00272BC6" w14:paraId="4EAD7A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66B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58C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5629" w14:textId="5DB75E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1,115,930.24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4ABF" w14:textId="7ECFD5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51F0" w14:textId="45AD5D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21C8" w14:textId="46BC4A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B4F9" w14:textId="282384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1,115,930.24 </w:t>
            </w:r>
          </w:p>
        </w:tc>
      </w:tr>
      <w:tr w:rsidR="00272BC6" w:rsidRPr="00272BC6" w14:paraId="03E8DDA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CD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99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FDE8" w14:textId="42FAD0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8C70" w14:textId="785B5C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98E7" w14:textId="2AB241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A544" w14:textId="7959D6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0940" w14:textId="14D69B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272BC6" w:rsidRPr="00272BC6" w14:paraId="65522A6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C1D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C61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9701" w14:textId="649D20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1,030,964.32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BB96" w14:textId="0766CF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2223" w14:textId="5ED969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7ED8" w14:textId="31C6D8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EE0D" w14:textId="1611E6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1,030,964.32 </w:t>
            </w:r>
          </w:p>
        </w:tc>
      </w:tr>
      <w:tr w:rsidR="00272BC6" w:rsidRPr="00272BC6" w14:paraId="7E27163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2C9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EF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2720" w14:textId="596EB8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B172" w14:textId="0DADFB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2C71" w14:textId="5216C5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D692" w14:textId="01D85E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91FA" w14:textId="1D4C01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</w:tr>
      <w:tr w:rsidR="00272BC6" w:rsidRPr="00272BC6" w14:paraId="4E82BE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CE3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07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442B" w14:textId="2E9E4B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234,600.24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0FCC" w14:textId="7B28EE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C758" w14:textId="245651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56AB0" w14:textId="5B4E74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B51C" w14:textId="1DAF06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234,600.24 </w:t>
            </w:r>
          </w:p>
        </w:tc>
      </w:tr>
      <w:tr w:rsidR="00272BC6" w:rsidRPr="00272BC6" w14:paraId="652EC5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16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7C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CD53" w14:textId="338435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20,746.96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ADB6" w14:textId="0A1BFC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00AC" w14:textId="501087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DB35C" w14:textId="766A67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80FA" w14:textId="23BB1C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20,746.96 </w:t>
            </w:r>
          </w:p>
        </w:tc>
      </w:tr>
      <w:tr w:rsidR="00272BC6" w:rsidRPr="00272BC6" w14:paraId="1B2325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2C8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47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B814" w14:textId="443090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2,267,004.36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C795" w14:textId="491E30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83AF" w14:textId="4DA69A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A146" w14:textId="1966B3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C5F4" w14:textId="4C12C2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2,267,004.36 </w:t>
            </w:r>
          </w:p>
        </w:tc>
      </w:tr>
      <w:tr w:rsidR="00272BC6" w:rsidRPr="00272BC6" w14:paraId="6C4410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027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52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1871" w14:textId="03FDBA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340,728.92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89F6" w14:textId="210DBF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4CDA" w14:textId="2F88F7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20A8" w14:textId="636F39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C896" w14:textId="4ED7EA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340,728.92 </w:t>
            </w:r>
          </w:p>
        </w:tc>
      </w:tr>
      <w:tr w:rsidR="00272BC6" w:rsidRPr="00272BC6" w14:paraId="4FF2C98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37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FB0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71C4" w14:textId="1F962E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233,640.00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62D0" w14:textId="132245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B416" w14:textId="16F675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6078" w14:textId="4B4405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C971" w14:textId="3E8EF5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233,640.00 </w:t>
            </w:r>
          </w:p>
        </w:tc>
      </w:tr>
      <w:tr w:rsidR="00272BC6" w:rsidRPr="00272BC6" w14:paraId="4BF03F4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ABD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8B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354B" w14:textId="4E7C8C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646,347.60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5697" w14:textId="7B4C4C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9841" w14:textId="0C68FD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AE55" w14:textId="2AAAED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DFF9" w14:textId="6C7A7B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646,347.60 </w:t>
            </w:r>
          </w:p>
        </w:tc>
      </w:tr>
      <w:tr w:rsidR="00272BC6" w:rsidRPr="00272BC6" w14:paraId="241F2C5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86F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7F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AEBF" w14:textId="5591C7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106,926.64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C64D" w14:textId="1B4FE6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6DFD" w14:textId="11584A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399C" w14:textId="2B2152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E013" w14:textId="492FCA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106,926.64 </w:t>
            </w:r>
          </w:p>
        </w:tc>
      </w:tr>
      <w:tr w:rsidR="00272BC6" w:rsidRPr="00272BC6" w14:paraId="6F8EDCC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E8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00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2EA9" w14:textId="731E6C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C602" w14:textId="6018E6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38E8" w14:textId="58503D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F1A1" w14:textId="1CABFF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5CB1" w14:textId="405067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272BC6" w:rsidRPr="00272BC6" w14:paraId="4E4F3B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876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1C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2F14" w14:textId="4EE4C3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F219" w14:textId="5341EC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8F23" w14:textId="0D8E32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F453" w14:textId="7B6CDD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0059" w14:textId="5BF7F5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</w:tr>
      <w:tr w:rsidR="00272BC6" w:rsidRPr="00272BC6" w14:paraId="040ADDF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146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13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EA78" w14:textId="6AD504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D93A" w14:textId="7AB55D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8BE4" w14:textId="2C8C94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938D" w14:textId="6233CF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6D60" w14:textId="4F3684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272BC6" w:rsidRPr="00272BC6" w14:paraId="17F9010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1D0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F48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D67C" w14:textId="2BFB2D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1,000,242.86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F4D7" w14:textId="0B8ABF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B2DF" w14:textId="156534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FBE3" w14:textId="749A1E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1C5C" w14:textId="5EE4E3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1,000,242.86 </w:t>
            </w:r>
          </w:p>
        </w:tc>
      </w:tr>
      <w:tr w:rsidR="00272BC6" w:rsidRPr="00272BC6" w14:paraId="17BA1BF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8B9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46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1070" w14:textId="42A491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242,731.06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669D" w14:textId="21ADD1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6B46" w14:textId="7E537C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5F41" w14:textId="263CF3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2026" w14:textId="5BB828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242,731.06 </w:t>
            </w:r>
          </w:p>
        </w:tc>
      </w:tr>
      <w:tr w:rsidR="00272BC6" w:rsidRPr="00272BC6" w14:paraId="3278DF1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065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2F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8372" w14:textId="17EA83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7F49" w14:textId="17F531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E951" w14:textId="6E5D38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7B13" w14:textId="620DD3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8004" w14:textId="630CF7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272BC6" w:rsidRPr="00272BC6" w14:paraId="3EC03FC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238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43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FD51" w14:textId="796D7D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F674" w14:textId="735655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7470" w14:textId="022616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E4A7" w14:textId="443D6F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86CD" w14:textId="7D0D19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362,520.00 </w:t>
            </w:r>
          </w:p>
        </w:tc>
      </w:tr>
      <w:tr w:rsidR="00272BC6" w:rsidRPr="00272BC6" w14:paraId="13E194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BEF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36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CBE4" w14:textId="6813CF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221,433.90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DC2B" w14:textId="5D4BDF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3EA8" w14:textId="015757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6F1F" w14:textId="35AC7F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EC07" w14:textId="5F9847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221,433.90 </w:t>
            </w:r>
          </w:p>
        </w:tc>
      </w:tr>
      <w:tr w:rsidR="00272BC6" w:rsidRPr="00272BC6" w14:paraId="2B1E4CB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5D3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E0C45" w14:textId="4BADB5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58,221,771.03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9619A" w14:textId="5A0163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1FCB3" w14:textId="5A8BB4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8623A" w14:textId="2F7201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D2701" w14:textId="1B53A9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431,421,771.03 </w:t>
            </w:r>
          </w:p>
        </w:tc>
      </w:tr>
      <w:tr w:rsidR="00272BC6" w:rsidRPr="00272BC6" w14:paraId="6029B35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47121E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2E81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9208" w14:textId="2CC0E5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2E7F" w14:textId="2A761F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A60F" w14:textId="145440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8B41" w14:textId="1DC4D5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158E" w14:textId="4BF086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373,200,000.00 </w:t>
            </w:r>
          </w:p>
        </w:tc>
      </w:tr>
      <w:tr w:rsidR="00272BC6" w:rsidRPr="00272BC6" w14:paraId="3C94FF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D2DB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3289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36FA" w14:textId="2AC3A7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CB84" w14:textId="1F2142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77B9" w14:textId="6BB59D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B5EB" w14:textId="6F9B4E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DDAC" w14:textId="7F40CE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272BC6" w:rsidRPr="00272BC6" w14:paraId="02D43DC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AC0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75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5E3D" w14:textId="2E0E68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35AF" w14:textId="75FBD0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4727" w14:textId="70BE4D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6F12" w14:textId="46F93A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DF75" w14:textId="3E45C9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272BC6" w:rsidRPr="00272BC6" w14:paraId="61C107C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2F6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B0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A243" w14:textId="11F1D8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278,132.98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B902" w14:textId="20D5B8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654F" w14:textId="5BEB84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4A89" w14:textId="7ABF57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4483" w14:textId="561DA3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278,132.98 </w:t>
            </w:r>
          </w:p>
        </w:tc>
      </w:tr>
      <w:tr w:rsidR="00272BC6" w:rsidRPr="00272BC6" w14:paraId="4E1BF7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4C5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30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5D7D" w14:textId="6A5194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3F4D" w14:textId="6829C1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6455" w14:textId="27EFAC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F85B" w14:textId="7D64BE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8EFB" w14:textId="1835D6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272BC6" w:rsidRPr="00272BC6" w14:paraId="6DCC533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96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14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F253" w14:textId="140020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563,855.76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1053" w14:textId="11D69E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2681" w14:textId="2FBB89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0180" w14:textId="0D2562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4EC8" w14:textId="216BEB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563,855.76 </w:t>
            </w:r>
          </w:p>
        </w:tc>
      </w:tr>
      <w:tr w:rsidR="00272BC6" w:rsidRPr="00272BC6" w14:paraId="37C15A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0D8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C1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1B6C" w14:textId="6339B7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B9CD" w14:textId="2CF27C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D6D2" w14:textId="03B0A3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1EF6" w14:textId="698540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BA21" w14:textId="2DA263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272BC6" w:rsidRPr="00272BC6" w14:paraId="1603DF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6C6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A3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B667" w14:textId="7294AD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4CF6" w14:textId="592CED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2E0B" w14:textId="56D3C4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2A12" w14:textId="2D82CA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D8B9" w14:textId="32AFF0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272BC6" w:rsidRPr="00272BC6" w14:paraId="37F35B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148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5E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641C" w14:textId="13F02C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454,386.10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4E54" w14:textId="0DD27F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C349" w14:textId="673220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8809" w14:textId="1FAC16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83CF" w14:textId="161974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454,386.10 </w:t>
            </w:r>
          </w:p>
        </w:tc>
      </w:tr>
      <w:tr w:rsidR="00272BC6" w:rsidRPr="00272BC6" w14:paraId="0697498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95D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B4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90CD" w14:textId="349104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3,026,438.84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D606" w14:textId="630909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7DF1" w14:textId="2D2150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779F" w14:textId="55E864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AC5E9" w14:textId="65D240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3,026,438.84 </w:t>
            </w:r>
          </w:p>
        </w:tc>
      </w:tr>
      <w:tr w:rsidR="00272BC6" w:rsidRPr="00272BC6" w14:paraId="0DCACA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B5C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08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A6A7" w14:textId="18DD71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41C3" w14:textId="725DC9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C1A9" w14:textId="1DC08E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58D9" w14:textId="6B20BE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3840" w14:textId="06C50B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272BC6" w:rsidRPr="00272BC6" w14:paraId="65DC94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DA6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1A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B54F" w14:textId="4F402F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6639" w14:textId="513C4D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8056" w14:textId="12CB32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1EBD" w14:textId="73DD39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F4AD" w14:textId="069991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272BC6" w:rsidRPr="00272BC6" w14:paraId="7524B8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F6B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C3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AC7A" w14:textId="6A1C6B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A73A" w14:textId="6C7917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2CEC" w14:textId="26650C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0CD5" w14:textId="58BE19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42EF" w14:textId="339314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272BC6" w:rsidRPr="00272BC6" w14:paraId="6ED1FB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31C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9D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6955" w14:textId="69BBA9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DBA3" w14:textId="3A3CC4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DC6C" w14:textId="3AB38B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FDC4" w14:textId="119B9E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1C92" w14:textId="52F343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</w:tr>
      <w:tr w:rsidR="00272BC6" w:rsidRPr="00272BC6" w14:paraId="36329A6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34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7E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6681" w14:textId="06EE7B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304,241.10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331C" w14:textId="50ADFF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A79F" w14:textId="0DDFE6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2832" w14:textId="15F377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F12A" w14:textId="0E8288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304,241.10 </w:t>
            </w:r>
          </w:p>
        </w:tc>
      </w:tr>
      <w:tr w:rsidR="00272BC6" w:rsidRPr="00272BC6" w14:paraId="2937360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AE3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22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3E03" w14:textId="0DA129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923,367.36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EB81" w14:textId="0A13B9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9BB7" w14:textId="7E2DEE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8BE1" w14:textId="14F2F6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0CC1" w14:textId="5A96FC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923,367.36 </w:t>
            </w:r>
          </w:p>
        </w:tc>
      </w:tr>
      <w:tr w:rsidR="00272BC6" w:rsidRPr="00272BC6" w14:paraId="15FE64A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0BC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34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7BB6" w14:textId="214ECA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636,906.34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A9CA" w14:textId="10F27B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9ED2" w14:textId="56AA8C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C29E" w14:textId="37CDBA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098E" w14:textId="630A98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636,906.34 </w:t>
            </w:r>
          </w:p>
        </w:tc>
      </w:tr>
      <w:tr w:rsidR="00272BC6" w:rsidRPr="00272BC6" w14:paraId="6FA49BD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738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41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DEDD" w14:textId="0D151F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4,842,050.49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97D5" w14:textId="0C1709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8E2A" w14:textId="474320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9530" w14:textId="0DF358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0131" w14:textId="30B9E1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4,842,050.49 </w:t>
            </w:r>
          </w:p>
        </w:tc>
      </w:tr>
      <w:tr w:rsidR="00272BC6" w:rsidRPr="00272BC6" w14:paraId="0FBFB8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AE4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6C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083C" w14:textId="36D613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254,661.94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A376" w14:textId="3C6270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D283" w14:textId="1EC523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D41E" w14:textId="74DADB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455D" w14:textId="32E785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254,661.94 </w:t>
            </w:r>
          </w:p>
        </w:tc>
      </w:tr>
      <w:tr w:rsidR="00272BC6" w:rsidRPr="00272BC6" w14:paraId="020B57E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CD8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F4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94DF" w14:textId="5DB4D8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417,984.86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113F" w14:textId="02554F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5661" w14:textId="794CCF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C5CB" w14:textId="48A453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CEA4" w14:textId="1A7326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417,984.86 </w:t>
            </w:r>
          </w:p>
        </w:tc>
      </w:tr>
      <w:tr w:rsidR="00272BC6" w:rsidRPr="00272BC6" w14:paraId="1F5FA4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6EE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67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C30A" w14:textId="3C758C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2E14" w14:textId="5DFDC6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67C4" w14:textId="480A7A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B461" w14:textId="3EA692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AF7B" w14:textId="5F8147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272BC6" w:rsidRPr="00272BC6" w14:paraId="6C81CF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D54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0F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E0CB" w14:textId="2CBD2B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682,625.90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9EFE" w14:textId="7889F0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488C" w14:textId="2B4B9B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E746" w14:textId="247645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15B0" w14:textId="2CAA0A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682,625.90 </w:t>
            </w:r>
          </w:p>
        </w:tc>
      </w:tr>
      <w:tr w:rsidR="00272BC6" w:rsidRPr="00272BC6" w14:paraId="44F0E9C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969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06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5B39" w14:textId="6A9C92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4D55" w14:textId="589298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957E" w14:textId="3927DD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AD8E" w14:textId="175434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15ED" w14:textId="34C145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272BC6" w:rsidRPr="00272BC6" w14:paraId="7BD0765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673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42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5D1C" w14:textId="731C46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743,619.78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C294" w14:textId="0A0756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8594" w14:textId="32DECD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4220" w14:textId="2CDF4D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AAC8" w14:textId="318856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743,619.78 </w:t>
            </w:r>
          </w:p>
        </w:tc>
      </w:tr>
      <w:tr w:rsidR="00272BC6" w:rsidRPr="00272BC6" w14:paraId="08C975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A11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9F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6891" w14:textId="64403A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710B" w14:textId="5320FC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A231" w14:textId="4392B7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FA8E" w14:textId="78EBC4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01BD" w14:textId="043683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</w:tr>
      <w:tr w:rsidR="00272BC6" w:rsidRPr="00272BC6" w14:paraId="7DC777B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027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FB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952A" w14:textId="552409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480B" w14:textId="582489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BB64" w14:textId="6943BF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CCA9" w14:textId="3260A2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475D" w14:textId="0CB796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</w:tr>
      <w:tr w:rsidR="00272BC6" w:rsidRPr="00272BC6" w14:paraId="40F6376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01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B4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3475" w14:textId="797E91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48E5" w14:textId="0D589F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2B3E" w14:textId="690565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D041" w14:textId="62E284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1938" w14:textId="4C56AE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272BC6" w:rsidRPr="00272BC6" w14:paraId="6CE075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793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1A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584C" w14:textId="63848A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537,390.92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032D" w14:textId="5061D0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8539" w14:textId="54556C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DE87" w14:textId="3DDDA2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E6F2" w14:textId="221D34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537,390.92 </w:t>
            </w:r>
          </w:p>
        </w:tc>
      </w:tr>
      <w:tr w:rsidR="00272BC6" w:rsidRPr="00272BC6" w14:paraId="4D44EC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439E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13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8C31" w14:textId="307C3A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2,621,785.14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2851" w14:textId="6B03F5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7036" w14:textId="02AC44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97B7" w14:textId="070948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27FC" w14:textId="5D3845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2,621,785.14 </w:t>
            </w:r>
          </w:p>
        </w:tc>
      </w:tr>
      <w:tr w:rsidR="00272BC6" w:rsidRPr="00272BC6" w14:paraId="27E160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310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D4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607C" w14:textId="6F5F5E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222,892.54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4898" w14:textId="22B3F3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B700" w14:textId="136750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554A" w14:textId="0AF30F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CD01" w14:textId="089956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222,892.54 </w:t>
            </w:r>
          </w:p>
        </w:tc>
      </w:tr>
      <w:tr w:rsidR="00272BC6" w:rsidRPr="00272BC6" w14:paraId="364521E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DBD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1F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F57C" w14:textId="2FC32C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822B" w14:textId="11D2E5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8994" w14:textId="765359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EA6E" w14:textId="58D735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3496" w14:textId="337E5A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</w:tr>
      <w:tr w:rsidR="00272BC6" w:rsidRPr="00272BC6" w14:paraId="69C85BB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36D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DB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10A3" w14:textId="20E85C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1,582,120.38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F3D7" w14:textId="2A227B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428B" w14:textId="514B1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9441" w14:textId="693841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5F93" w14:textId="2445B3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1,582,120.38 </w:t>
            </w:r>
          </w:p>
        </w:tc>
      </w:tr>
      <w:tr w:rsidR="00272BC6" w:rsidRPr="00272BC6" w14:paraId="0BD5CA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2BE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E0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E9B3" w14:textId="17C463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338,633.60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2F40" w14:textId="01D0F9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7F12" w14:textId="3B0B5A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A0B0" w14:textId="5C3849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8741" w14:textId="569D31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338,633.60 </w:t>
            </w:r>
          </w:p>
        </w:tc>
      </w:tr>
      <w:tr w:rsidR="00272BC6" w:rsidRPr="00272BC6" w14:paraId="745C9F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AC8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53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5E71" w14:textId="26C6A6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D964" w14:textId="6C311D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779E" w14:textId="1393F6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BB45" w14:textId="4099BB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1BDC" w14:textId="5097AB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272BC6" w:rsidRPr="00272BC6" w14:paraId="371E97B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8B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30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250C" w14:textId="4684B4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473,255.24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2BBA" w14:textId="2E0F8C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6DD7" w14:textId="79D349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A0D4" w14:textId="3918FB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C90C" w14:textId="5E1650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473,255.24 </w:t>
            </w:r>
          </w:p>
        </w:tc>
      </w:tr>
      <w:tr w:rsidR="00272BC6" w:rsidRPr="00272BC6" w14:paraId="6C29141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F36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13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F6E2" w14:textId="2830CD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DC66" w14:textId="533636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F38C" w14:textId="6C7AED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0812" w14:textId="12C36F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5595" w14:textId="32C3C5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272BC6" w:rsidRPr="00272BC6" w14:paraId="0BF33B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388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86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540C" w14:textId="076DC1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37E9" w14:textId="0C26AF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C087" w14:textId="62C07A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07E9" w14:textId="2A5DB6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3BB4" w14:textId="4E82CB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272BC6" w:rsidRPr="00272BC6" w14:paraId="34DA509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C4E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F3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FD84" w14:textId="627541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828,667.62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9B7F" w14:textId="06E7E6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6295" w14:textId="507961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A2F5" w14:textId="5850DC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46A8" w14:textId="75ACAD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828,667.62 </w:t>
            </w:r>
          </w:p>
        </w:tc>
      </w:tr>
      <w:tr w:rsidR="00272BC6" w:rsidRPr="00272BC6" w14:paraId="10EEF68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31F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BF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19D2" w14:textId="769596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2,529,583.84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432A" w14:textId="09AF5F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6CBC" w14:textId="7F29F9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5745" w14:textId="64BC28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A5EA" w14:textId="4CC148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2,529,583.84 </w:t>
            </w:r>
          </w:p>
        </w:tc>
      </w:tr>
      <w:tr w:rsidR="00272BC6" w:rsidRPr="00272BC6" w14:paraId="3462AF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437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A0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9706" w14:textId="7D919E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9939" w14:textId="0E6AB1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E398" w14:textId="090993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076D" w14:textId="332CE3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A5D6" w14:textId="7DE81A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272BC6" w:rsidRPr="00272BC6" w14:paraId="66BDA6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3DE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4F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B1F6" w14:textId="22DC89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EBDB" w14:textId="21FB6E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00F5" w14:textId="1581B1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8D05" w14:textId="1127B0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E6BC" w14:textId="534CE6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</w:tr>
      <w:tr w:rsidR="00272BC6" w:rsidRPr="00272BC6" w14:paraId="7C28003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7D5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8F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58BF" w14:textId="3452AD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3,913,273.06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6576" w14:textId="259D5A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440B" w14:textId="3C7A69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5493" w14:textId="1BF3F1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91E7" w14:textId="2BC4BF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3,913,273.06 </w:t>
            </w:r>
          </w:p>
        </w:tc>
      </w:tr>
      <w:tr w:rsidR="00272BC6" w:rsidRPr="00272BC6" w14:paraId="3A14B4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C37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C8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602E" w14:textId="6E6B77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A6F2" w14:textId="45308D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4A6A" w14:textId="745E36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7655" w14:textId="1EC57F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9310" w14:textId="46888E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272BC6" w:rsidRPr="00272BC6" w14:paraId="2C050F1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F8F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25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595D" w14:textId="57158D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FC75" w14:textId="4E741F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ECC5" w14:textId="586655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1A5B" w14:textId="451EBE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F843" w14:textId="38C43B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</w:tr>
      <w:tr w:rsidR="00272BC6" w:rsidRPr="00272BC6" w14:paraId="0B6462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A1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BF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0B98" w14:textId="31C530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237,067.84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B33E" w14:textId="6AE548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1004" w14:textId="150BAD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2FA9" w14:textId="4831EC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47CD" w14:textId="68FB09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237,067.84 </w:t>
            </w:r>
          </w:p>
        </w:tc>
      </w:tr>
      <w:tr w:rsidR="00272BC6" w:rsidRPr="00272BC6" w14:paraId="487747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0E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01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DBF4" w14:textId="12A88B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E21A" w14:textId="26D225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DDB6" w14:textId="3E7260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3B07" w14:textId="6E0BAD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3FF4" w14:textId="754E0C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272BC6" w:rsidRPr="00272BC6" w14:paraId="191C854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5A4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DC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D62D" w14:textId="76DE3C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623,067.36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397E" w14:textId="23811F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52A3" w14:textId="5356E8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3C71" w14:textId="5BFE8C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6D07" w14:textId="0D677A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623,067.36 </w:t>
            </w:r>
          </w:p>
        </w:tc>
      </w:tr>
      <w:tr w:rsidR="00272BC6" w:rsidRPr="00272BC6" w14:paraId="5E74E4F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2BA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98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0889" w14:textId="4C4B1D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31DB" w14:textId="505DCC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8057" w14:textId="1DB688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6519" w14:textId="5ED60D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1B3E" w14:textId="1162BB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272BC6" w:rsidRPr="00272BC6" w14:paraId="1B99D09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121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DEE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7D7D" w14:textId="0AAF9F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2,018,491.72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E1C7" w14:textId="42075A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6010" w14:textId="5806F6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3EAC" w14:textId="795B11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25DF" w14:textId="587FF0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2,018,491.72 </w:t>
            </w:r>
          </w:p>
        </w:tc>
      </w:tr>
      <w:tr w:rsidR="00272BC6" w:rsidRPr="00272BC6" w14:paraId="24490E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46F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F20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F166" w14:textId="6FEAF4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924,040.22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9225" w14:textId="1435B0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8935" w14:textId="1B9972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8215" w14:textId="22FD13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3294" w14:textId="450AE5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924,040.22 </w:t>
            </w:r>
          </w:p>
        </w:tc>
      </w:tr>
      <w:tr w:rsidR="00272BC6" w:rsidRPr="00272BC6" w14:paraId="7072A96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36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48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1BB8" w14:textId="61EFAC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429,321.40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3DB4" w14:textId="31910A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16C2" w14:textId="643A16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C767" w14:textId="62E7A6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735D" w14:textId="5B3EAE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429,321.40 </w:t>
            </w:r>
          </w:p>
        </w:tc>
      </w:tr>
      <w:tr w:rsidR="00272BC6" w:rsidRPr="00272BC6" w14:paraId="236C247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A90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24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5A1CA" w14:textId="788346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8238" w14:textId="3627D3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9542" w14:textId="267E05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CE09" w14:textId="527D3F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E691" w14:textId="19A405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272BC6" w:rsidRPr="00272BC6" w14:paraId="5C035E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B0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DB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2D72" w14:textId="360392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767,005.78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7810" w14:textId="3F6173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BBC7" w14:textId="36780A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A374" w14:textId="52D09D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4AAB" w14:textId="21F3F6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767,005.78 </w:t>
            </w:r>
          </w:p>
        </w:tc>
      </w:tr>
      <w:tr w:rsidR="00272BC6" w:rsidRPr="00272BC6" w14:paraId="46AFC5E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99C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05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8E1A" w14:textId="739713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558,886.38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1FB5" w14:textId="72DB8D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5FA9" w14:textId="3F544C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BF5F" w14:textId="1E4C7B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6559" w14:textId="20B5D5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558,886.38 </w:t>
            </w:r>
          </w:p>
        </w:tc>
      </w:tr>
      <w:tr w:rsidR="00272BC6" w:rsidRPr="00272BC6" w14:paraId="19B1369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7D5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F4FAF" w14:textId="44988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11,928,538.10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00C3DE" w14:textId="7116DE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6E693" w14:textId="01FE31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A887D2" w14:textId="3EC815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F44D9" w14:textId="00500E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11,928,538.10 </w:t>
            </w:r>
          </w:p>
        </w:tc>
      </w:tr>
      <w:tr w:rsidR="00272BC6" w:rsidRPr="00272BC6" w14:paraId="7BE5F59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8704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13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DDDE" w14:textId="195CB5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237,906.78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5B47" w14:textId="40B519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6D2A" w14:textId="0A478C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5AAD7" w14:textId="31894F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D7FD" w14:textId="2D80E0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237,906.78 </w:t>
            </w:r>
          </w:p>
        </w:tc>
      </w:tr>
      <w:tr w:rsidR="00272BC6" w:rsidRPr="00272BC6" w14:paraId="001063D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00BF5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5A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0310" w14:textId="3CEA8A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6AE2" w14:textId="08E5F9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336C" w14:textId="2179A9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8F79" w14:textId="23E0F8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FB9C" w14:textId="5AC1FA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272BC6" w:rsidRPr="00272BC6" w14:paraId="4B575CB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22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AC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E167" w14:textId="1E8450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679,544.00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180A" w14:textId="74CDED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DCF2" w14:textId="7DFA04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1B4A" w14:textId="29189E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A499" w14:textId="58ED39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679,544.00 </w:t>
            </w:r>
          </w:p>
        </w:tc>
      </w:tr>
      <w:tr w:rsidR="00272BC6" w:rsidRPr="00272BC6" w14:paraId="7EEB75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BED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18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B84F" w14:textId="39F248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72E1" w14:textId="72823C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2D2D" w14:textId="6AE2A6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18E6" w14:textId="455532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0BA5" w14:textId="78811E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272BC6" w:rsidRPr="00272BC6" w14:paraId="08C4996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6E6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B8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BA19" w14:textId="474D81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324,483.58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1497" w14:textId="49D9A3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D7F2" w14:textId="2773B6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38C1" w14:textId="693A62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15CA" w14:textId="02383D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324,483.58 </w:t>
            </w:r>
          </w:p>
        </w:tc>
      </w:tr>
      <w:tr w:rsidR="00272BC6" w:rsidRPr="00272BC6" w14:paraId="2B3607E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E1F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4B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3BC2" w14:textId="479E1B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42F8" w14:textId="4B1FAF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CE22" w14:textId="3AC0D6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9E02" w14:textId="3138F4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7A49" w14:textId="720927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</w:tr>
      <w:tr w:rsidR="00272BC6" w:rsidRPr="00272BC6" w14:paraId="3631955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0A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D0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220B" w14:textId="5EF440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CE12" w14:textId="506C0B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6CB9" w14:textId="73FE13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A324" w14:textId="580AB1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5CD0" w14:textId="42133D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272BC6" w:rsidRPr="00272BC6" w14:paraId="19DF8A1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C10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0D2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B5D4" w14:textId="1BD9A8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761C" w14:textId="0D25D7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DFD2" w14:textId="5727A7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585A" w14:textId="289074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3F19" w14:textId="6D6A47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272BC6" w:rsidRPr="00272BC6" w14:paraId="69C87BA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125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42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3D89" w14:textId="20870A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6F1D" w14:textId="72B06A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63CF" w14:textId="3D833C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BF7D" w14:textId="2B11B1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D63C" w14:textId="6E621A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272BC6" w:rsidRPr="00272BC6" w14:paraId="1BD2737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BEC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F6D8CB" w14:textId="0EC0F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4,634,432.85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E7C96D" w14:textId="44BB04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152,552,607.08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2720BC" w14:textId="5E1D64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1F8060" w14:textId="0F37B6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8C9F92" w14:textId="4E65C5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159,109,309.93 </w:t>
            </w:r>
          </w:p>
        </w:tc>
      </w:tr>
      <w:tr w:rsidR="00272BC6" w:rsidRPr="00272BC6" w14:paraId="5C4BBA4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4646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C00BC" w14:textId="1DD420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4ECF6" w14:textId="10DE8D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369D7" w14:textId="232C2B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A03A17" w14:textId="584D94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16E27" w14:textId="1C37C5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</w:tr>
      <w:tr w:rsidR="00272BC6" w:rsidRPr="00272BC6" w14:paraId="2030DE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686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DD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851C" w14:textId="052AF6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8C5D" w14:textId="7F90EA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BC1B" w14:textId="2FF9F4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1613" w14:textId="6816FF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AE92" w14:textId="443D38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</w:tr>
      <w:tr w:rsidR="00272BC6" w:rsidRPr="00272BC6" w14:paraId="0C0447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299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09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A61E" w14:textId="66C843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889D" w14:textId="793B41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E652" w14:textId="5D839F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B839" w14:textId="10F717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33C7" w14:textId="035239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</w:tr>
      <w:tr w:rsidR="00272BC6" w:rsidRPr="00272BC6" w14:paraId="76EBB24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E0DA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F027B" w14:textId="7C7DDA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2F0CB7" w14:textId="767022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17,932,451.69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078EC3" w14:textId="295E6B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FCB736" w14:textId="13D22A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0D93CA" w14:textId="1C2B16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17,945,351.69 </w:t>
            </w:r>
          </w:p>
        </w:tc>
      </w:tr>
      <w:tr w:rsidR="00272BC6" w:rsidRPr="00272BC6" w14:paraId="410BD4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33E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1C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E3B3" w14:textId="09B4FC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394B" w14:textId="6A09CD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E868" w14:textId="7B7E39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C8C7" w14:textId="09B6C6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62D2" w14:textId="1CCE81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</w:tr>
      <w:tr w:rsidR="00272BC6" w:rsidRPr="00272BC6" w14:paraId="32AA267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C8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D8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90C8" w14:textId="081453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0A25" w14:textId="0A0072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3FDD7" w14:textId="251643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F720" w14:textId="25CDF0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4E2E" w14:textId="6ED3CC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</w:tr>
      <w:tr w:rsidR="00272BC6" w:rsidRPr="00272BC6" w14:paraId="59378CA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238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64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7E99" w14:textId="156275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8268" w14:textId="2B1950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ACEC" w14:textId="4BEDCD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84BE" w14:textId="71B612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50E7" w14:textId="355DA5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</w:tr>
      <w:tr w:rsidR="00272BC6" w:rsidRPr="00272BC6" w14:paraId="4B2C05A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AC6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41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CF92" w14:textId="6B1995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E125" w14:textId="3FC50A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F866" w14:textId="68AFEE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1E1F" w14:textId="676696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6686" w14:textId="4BDB28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141,700.00 </w:t>
            </w:r>
          </w:p>
        </w:tc>
      </w:tr>
      <w:tr w:rsidR="00272BC6" w:rsidRPr="00272BC6" w14:paraId="1BAD92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FC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78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4B03" w14:textId="4BB8A9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7D2C" w14:textId="64F5D9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B49D" w14:textId="294504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A448" w14:textId="40DFAC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2F4D" w14:textId="642458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</w:tr>
      <w:tr w:rsidR="00272BC6" w:rsidRPr="00272BC6" w14:paraId="4B6C24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2CB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F3C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DC03" w14:textId="31B27F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1F27" w14:textId="0350FD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009F" w14:textId="3C59F7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AB5A" w14:textId="5256DA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8280" w14:textId="27B861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</w:tr>
      <w:tr w:rsidR="00272BC6" w:rsidRPr="00272BC6" w14:paraId="6B25167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089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CD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B998" w14:textId="298AC2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E0EC" w14:textId="4C6085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9C5F" w14:textId="7F9955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ABCD" w14:textId="73FE59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8F4B" w14:textId="1E4574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</w:tr>
      <w:tr w:rsidR="00272BC6" w:rsidRPr="00272BC6" w14:paraId="6B73890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B0A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F6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2F5B" w14:textId="0CD8AF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9E70" w14:textId="231796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E323" w14:textId="7C2B6D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953F" w14:textId="14B3B2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826E" w14:textId="2AB427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</w:tr>
      <w:tr w:rsidR="00272BC6" w:rsidRPr="00272BC6" w14:paraId="43A9628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DC8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93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005B" w14:textId="16928D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78DB" w14:textId="4A5586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1C37" w14:textId="3112C2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155D" w14:textId="3A1D09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7125" w14:textId="0FD28A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</w:tr>
      <w:tr w:rsidR="00272BC6" w:rsidRPr="00272BC6" w14:paraId="6ADBF9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660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2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EC6C" w14:textId="200D08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E7FD" w14:textId="56CEE2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BF50" w14:textId="4C4FBC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10D7" w14:textId="6ECD95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EB76" w14:textId="7DE7F6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</w:tr>
      <w:tr w:rsidR="00272BC6" w:rsidRPr="00272BC6" w14:paraId="4E671C7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29E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7B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0940" w14:textId="5F89F6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BB56" w14:textId="7F7E25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98FA" w14:textId="009303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7447" w14:textId="4FE3C2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B03E" w14:textId="7CE999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</w:tr>
      <w:tr w:rsidR="00272BC6" w:rsidRPr="00272BC6" w14:paraId="1FA2AA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77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BE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8934" w14:textId="357714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85AD" w14:textId="7EFF05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2C5E" w14:textId="0471FA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E8EA" w14:textId="6DAAB8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3FE2" w14:textId="030B25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</w:tr>
      <w:tr w:rsidR="00272BC6" w:rsidRPr="00272BC6" w14:paraId="4C1FE12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87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AF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D345" w14:textId="7EBD56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B4FE" w14:textId="1BCBDA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2D38" w14:textId="2F18F1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98FC" w14:textId="583ECA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B4A4" w14:textId="6DE36D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</w:tr>
      <w:tr w:rsidR="00272BC6" w:rsidRPr="00272BC6" w14:paraId="2615F97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6C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B5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1F29" w14:textId="165574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4FBE" w14:textId="1A1D20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22F0" w14:textId="6180B3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0EDA" w14:textId="61BD65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ADD8" w14:textId="2C6B23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</w:tr>
      <w:tr w:rsidR="00272BC6" w:rsidRPr="00272BC6" w14:paraId="7956AA97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0BE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8EDAD" w14:textId="534CA9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667,715.05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72A9AA" w14:textId="0EA637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77,493,386.72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3B1DB" w14:textId="053F9A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AEE65" w14:textId="2E3838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873FD" w14:textId="7E7CD6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78,309,471.77 </w:t>
            </w:r>
          </w:p>
        </w:tc>
      </w:tr>
      <w:tr w:rsidR="00272BC6" w:rsidRPr="00272BC6" w14:paraId="2C9847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B62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093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F766" w14:textId="29C435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CB2A" w14:textId="5B983D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CC33" w14:textId="63626B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6E02" w14:textId="4892BA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2663" w14:textId="3AA853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</w:tr>
      <w:tr w:rsidR="00272BC6" w:rsidRPr="00272BC6" w14:paraId="3B4201C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837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1C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2D6A" w14:textId="7663E9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1FFE" w14:textId="5EFFAD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F6A4" w14:textId="19315F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C13A" w14:textId="3628A8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AB22" w14:textId="60B980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</w:tr>
      <w:tr w:rsidR="00272BC6" w:rsidRPr="00272BC6" w14:paraId="0E5FE53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A31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03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4FDC" w14:textId="408369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77,454.73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A090" w14:textId="642F98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6EAF" w14:textId="1D4B0F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F629" w14:textId="113A35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3A6C" w14:textId="6ED37B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77,454.73 </w:t>
            </w:r>
          </w:p>
        </w:tc>
      </w:tr>
      <w:tr w:rsidR="00272BC6" w:rsidRPr="00272BC6" w14:paraId="5FA642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B6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6E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592F" w14:textId="5B00C9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2BFB" w14:textId="66D4BC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EFBD" w14:textId="7F342F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D7F1" w14:textId="088F35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E774" w14:textId="78694C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</w:tr>
      <w:tr w:rsidR="00272BC6" w:rsidRPr="00272BC6" w14:paraId="7DB550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CE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13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E9CA" w14:textId="10DC51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FA65" w14:textId="04530A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D308" w14:textId="13AA10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8152" w14:textId="41BE65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EF19" w14:textId="22B8C8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</w:tr>
      <w:tr w:rsidR="00272BC6" w:rsidRPr="00272BC6" w14:paraId="3728F4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B1D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B76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9CAA" w14:textId="576B6B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07D7" w14:textId="02E819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9406" w14:textId="57FDD4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B0FB" w14:textId="097763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37F8" w14:textId="11C793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272BC6" w:rsidRPr="00272BC6" w14:paraId="7B6598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81B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2F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80DD" w14:textId="18FA6F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9C51" w14:textId="3794E5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96D4" w14:textId="07AC59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4731" w14:textId="0F1728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E629" w14:textId="6E43E6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</w:tr>
      <w:tr w:rsidR="00272BC6" w:rsidRPr="00272BC6" w14:paraId="42E332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E6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4E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09C2" w14:textId="7E21B0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4ACB" w14:textId="34A06D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839,077.40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1620" w14:textId="745D9C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B54C" w14:textId="4C19CF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FF1F" w14:textId="2F1A7F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933,217.40 </w:t>
            </w:r>
          </w:p>
        </w:tc>
      </w:tr>
      <w:tr w:rsidR="00272BC6" w:rsidRPr="00272BC6" w14:paraId="0FA4BE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CF5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DD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E1E8" w14:textId="3D7440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53A0" w14:textId="2E1454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12DD" w14:textId="14DB6C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9E4D" w14:textId="5AEB1B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A6BE" w14:textId="644F61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</w:tr>
      <w:tr w:rsidR="00272BC6" w:rsidRPr="00272BC6" w14:paraId="6B0CEA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6FC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CD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DC9A" w14:textId="3EB266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DAC2" w14:textId="24E75D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2403" w14:textId="4A2CDE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5146" w14:textId="0F641C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972A" w14:textId="4E3FB4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</w:tr>
      <w:tr w:rsidR="00272BC6" w:rsidRPr="00272BC6" w14:paraId="012EBB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095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5E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B9C4" w14:textId="44BDD7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6940" w14:textId="5A782A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75F2" w14:textId="78DDAD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9983" w14:textId="354EE2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ECD6" w14:textId="3D5156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272BC6" w:rsidRPr="00272BC6" w14:paraId="6BD8C72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B2F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AD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69D8" w14:textId="51C46F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5A3C" w14:textId="7B678E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96AC" w14:textId="7BD2B9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2D61" w14:textId="19D5A4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EDD4" w14:textId="185C19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272BC6" w:rsidRPr="00272BC6" w14:paraId="237779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C83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F8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940F" w14:textId="60C06E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D86A" w14:textId="3E841E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59F7" w14:textId="2D5090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0B27" w14:textId="5C5F3B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E0BC" w14:textId="5CC468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</w:tr>
      <w:tr w:rsidR="00272BC6" w:rsidRPr="00272BC6" w14:paraId="00022A2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A7D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B1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EF45" w14:textId="007185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1776" w14:textId="7AE95A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EB32" w14:textId="5809A0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DB7F" w14:textId="5CD9FD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5435" w14:textId="5F7B69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</w:tr>
      <w:tr w:rsidR="00272BC6" w:rsidRPr="00272BC6" w14:paraId="673F3E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7FD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72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210B" w14:textId="37BEBE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7052" w14:textId="682285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E504" w14:textId="4ECD7E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7B3C" w14:textId="344477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69CA" w14:textId="017FF9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</w:tr>
      <w:tr w:rsidR="00272BC6" w:rsidRPr="00272BC6" w14:paraId="4AFCDE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59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96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E9B6" w14:textId="33AA82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FBD50" w14:textId="0E66C5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228,240.79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89DE" w14:textId="3F01A6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E164" w14:textId="27BA28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87B4" w14:textId="42FB30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273,620.79 </w:t>
            </w:r>
          </w:p>
        </w:tc>
      </w:tr>
      <w:tr w:rsidR="00272BC6" w:rsidRPr="00272BC6" w14:paraId="132EE65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08F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C4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0A59" w14:textId="692AD4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CB46" w14:textId="051B46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3F8D" w14:textId="61DDC7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FFA1" w14:textId="60420E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A3A0" w14:textId="05A205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</w:tr>
      <w:tr w:rsidR="00272BC6" w:rsidRPr="00272BC6" w14:paraId="65EDF5F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6D6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3F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3745" w14:textId="22E8DF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3FFD" w14:textId="2BEA5F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924C" w14:textId="7BE16F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28BB" w14:textId="1F593C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4D7A" w14:textId="3B2C5A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</w:tr>
      <w:tr w:rsidR="00272BC6" w:rsidRPr="00272BC6" w14:paraId="6C5E786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05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FB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66E7" w14:textId="15D7FB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9306" w14:textId="27C18F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6,094,303.70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FE43" w14:textId="79D8B3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02D7" w14:textId="2C27D3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DC47" w14:textId="7142DB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6,134,303.70 </w:t>
            </w:r>
          </w:p>
        </w:tc>
      </w:tr>
      <w:tr w:rsidR="00272BC6" w:rsidRPr="00272BC6" w14:paraId="1F7693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D84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93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73A7" w14:textId="1B0EB9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BF7C" w14:textId="266C6D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CE84" w14:textId="01955C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68F5" w14:textId="1F907C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5206" w14:textId="74C14C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</w:tr>
      <w:tr w:rsidR="00272BC6" w:rsidRPr="00272BC6" w14:paraId="62B226C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522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35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3077" w14:textId="33404D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0C7D" w14:textId="0EB1AD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E748" w14:textId="7D841E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A720" w14:textId="16CC02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34BF" w14:textId="51BBB7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</w:tr>
      <w:tr w:rsidR="00272BC6" w:rsidRPr="00272BC6" w14:paraId="3E39BEE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589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DA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9A52" w14:textId="2C383C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23CA" w14:textId="0E4A9A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DAB8" w14:textId="19489A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929E" w14:textId="5492DC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A611" w14:textId="08C9AF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</w:tr>
      <w:tr w:rsidR="00272BC6" w:rsidRPr="00272BC6" w14:paraId="1E3A83A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C9C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D22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4D15" w14:textId="3643C9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DE78" w14:textId="62D86B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1,699,821.71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7224" w14:textId="6FE072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B309" w14:textId="385852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1F95" w14:textId="76898B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1,743,121.71 </w:t>
            </w:r>
          </w:p>
        </w:tc>
      </w:tr>
      <w:tr w:rsidR="00272BC6" w:rsidRPr="00272BC6" w14:paraId="40B653C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6B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56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32F0" w14:textId="7D2AA5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CC0D" w14:textId="418781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BE4D" w14:textId="6E30EA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76ED" w14:textId="45802F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2BC1" w14:textId="2B6DFD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2,519,690.00 </w:t>
            </w:r>
          </w:p>
        </w:tc>
      </w:tr>
      <w:tr w:rsidR="00272BC6" w:rsidRPr="00272BC6" w14:paraId="5FA892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973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3B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15EF" w14:textId="3FFA1A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3E66" w14:textId="2191F2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C153" w14:textId="560A4B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40B3" w14:textId="449F0D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1208" w14:textId="223AB5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</w:tr>
      <w:tr w:rsidR="00272BC6" w:rsidRPr="00272BC6" w14:paraId="29E3DE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76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1A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992A" w14:textId="179F6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BF7E" w14:textId="0A99A8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E1971" w14:textId="3AA093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E7A2" w14:textId="48470D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F4B1" w14:textId="777D30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</w:tr>
      <w:tr w:rsidR="00272BC6" w:rsidRPr="00272BC6" w14:paraId="644F3C6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26B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8F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CAEB" w14:textId="585DDF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8798" w14:textId="709BE5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8D30" w14:textId="419470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266" w14:textId="689C77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4CB3" w14:textId="35F1DA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</w:tr>
      <w:tr w:rsidR="00272BC6" w:rsidRPr="00272BC6" w14:paraId="5CC3886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E13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9FF54" w14:textId="6811F3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470,700.00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251648" w14:textId="3BC6A7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10,103,548.16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476AF" w14:textId="63382B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A100F" w14:textId="69C251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6EC49" w14:textId="164AD5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10,589,248.16 </w:t>
            </w:r>
          </w:p>
        </w:tc>
      </w:tr>
      <w:tr w:rsidR="00272BC6" w:rsidRPr="00272BC6" w14:paraId="2A2820D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3E5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22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30DF" w14:textId="6EB4FA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BAC5" w14:textId="12857E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F6A7" w14:textId="302274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2B67" w14:textId="04446B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D3E1" w14:textId="1BF7BC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272BC6" w:rsidRPr="00272BC6" w14:paraId="4D7EAB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020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1D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A638" w14:textId="0E1EB3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5B8E" w14:textId="10A2BF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2,637,112.73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C2CAE" w14:textId="377318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DDBC" w14:textId="3381C3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5CEC" w14:textId="445927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2,722,717.73 </w:t>
            </w:r>
          </w:p>
        </w:tc>
      </w:tr>
      <w:tr w:rsidR="00272BC6" w:rsidRPr="00272BC6" w14:paraId="5EA2B83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A2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C4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CB2A" w14:textId="098EF7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0332" w14:textId="6E19C0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4F15" w14:textId="24012F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C221" w14:textId="44C547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3C3C" w14:textId="3C5855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417,075.00 </w:t>
            </w:r>
          </w:p>
        </w:tc>
      </w:tr>
      <w:tr w:rsidR="00272BC6" w:rsidRPr="00272BC6" w14:paraId="159B41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2F2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DE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C154" w14:textId="693BA5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76BB" w14:textId="528496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94C9" w14:textId="221F1E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CD58" w14:textId="79C295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7924" w14:textId="29FEDC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</w:tr>
      <w:tr w:rsidR="00272BC6" w:rsidRPr="00272BC6" w14:paraId="44D499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B8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17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DC19" w14:textId="4C07E6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6A18" w14:textId="75E6FE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11B4" w14:textId="3485E7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1150" w14:textId="217B2C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0B9E" w14:textId="2DDD32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272BC6" w:rsidRPr="00272BC6" w14:paraId="14FFF6C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8C3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EB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802F" w14:textId="3B6587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716E" w14:textId="18D9B1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413C" w14:textId="7E25A2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5E15" w14:textId="0D8DBA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29D0" w14:textId="52870B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272BC6" w:rsidRPr="00272BC6" w14:paraId="3B7333D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A8D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E2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F911" w14:textId="13733E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EDAC" w14:textId="598780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B9EC" w14:textId="4D895E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75CA" w14:textId="08AD11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A52B" w14:textId="6B0089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</w:tr>
      <w:tr w:rsidR="00272BC6" w:rsidRPr="00272BC6" w14:paraId="364E2F2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8BB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A9218" w14:textId="623FAC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A39296" w14:textId="568022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30,144,801.00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B65AC" w14:textId="576B24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867E1" w14:textId="765A47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5E7E6" w14:textId="0F5C88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34,639,504.80 </w:t>
            </w:r>
          </w:p>
        </w:tc>
      </w:tr>
      <w:tr w:rsidR="00272BC6" w:rsidRPr="00272BC6" w14:paraId="7A1615B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2F7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52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DDAF" w14:textId="2297AF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57D9" w14:textId="15836C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C812" w14:textId="089A83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22C5" w14:textId="75AA74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BD4D" w14:textId="474AAE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</w:tr>
      <w:tr w:rsidR="00272BC6" w:rsidRPr="00272BC6" w14:paraId="596B3F2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C69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24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F772" w14:textId="11797F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9BB8" w14:textId="6448A0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AA60" w14:textId="736254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F81F" w14:textId="1FD8C9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8F89" w14:textId="2B4468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</w:tr>
      <w:tr w:rsidR="00272BC6" w:rsidRPr="00272BC6" w14:paraId="434426A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39B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DA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28A8" w14:textId="5033D4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A186" w14:textId="3258E9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927B" w14:textId="60BD6A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5BBE" w14:textId="0F2FC2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4072" w14:textId="2B93E9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272BC6" w:rsidRPr="00272BC6" w14:paraId="2896412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B11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12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E88D" w14:textId="38F429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4A68" w14:textId="1936CD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41E2" w14:textId="7C3B8A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6D98" w14:textId="043379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28AD" w14:textId="230821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</w:tr>
      <w:tr w:rsidR="00272BC6" w:rsidRPr="00272BC6" w14:paraId="387847B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3F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66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9056" w14:textId="337A68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1699" w14:textId="787C90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BFE0" w14:textId="21A883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DB7A" w14:textId="0FD0C4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AEC4" w14:textId="412AF3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</w:tr>
      <w:tr w:rsidR="00272BC6" w:rsidRPr="00272BC6" w14:paraId="0205C5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AE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B2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845D" w14:textId="2D578A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B6F6" w14:textId="0B6170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2,771,250.00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AEB1" w14:textId="6B11CB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A667" w14:textId="673609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78B0" w14:textId="71E1D5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3,879,750.00 </w:t>
            </w:r>
          </w:p>
        </w:tc>
      </w:tr>
      <w:tr w:rsidR="00272BC6" w:rsidRPr="00272BC6" w14:paraId="42A4BA3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46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ED2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320A" w14:textId="3F412A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34B94" w14:textId="0A94FC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2B1B" w14:textId="2B2456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8971" w14:textId="7953ED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9DB4" w14:textId="0AC36E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</w:tr>
      <w:tr w:rsidR="00272BC6" w:rsidRPr="00272BC6" w14:paraId="724E85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88F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3B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64B2" w14:textId="2F0BD3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E657" w14:textId="0C380E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8419" w14:textId="374FB4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B3E2" w14:textId="4E2097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C829" w14:textId="763DE1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</w:tr>
      <w:tr w:rsidR="00272BC6" w:rsidRPr="00272BC6" w14:paraId="3624E3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45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C7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A2D8" w14:textId="5A5801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DB9C" w14:textId="7D54E3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2,045,317.00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D0C8" w14:textId="7D29EA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62B8" w14:textId="5EC6F7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136C" w14:textId="4E1F47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5,431,520.80 </w:t>
            </w:r>
          </w:p>
        </w:tc>
      </w:tr>
      <w:tr w:rsidR="00272BC6" w:rsidRPr="00272BC6" w14:paraId="2A04205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F50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57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314C" w14:textId="1C8007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1730" w14:textId="6EA46F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5977" w14:textId="56C931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F995" w14:textId="014724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8A52" w14:textId="2945C1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</w:tr>
      <w:tr w:rsidR="00272BC6" w:rsidRPr="00272BC6" w14:paraId="0D22A2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883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17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5AD9" w14:textId="58218D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D840" w14:textId="4D9A8F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E98A" w14:textId="1F42B8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2840" w14:textId="0C1B91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0647" w14:textId="2AF301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</w:tr>
      <w:tr w:rsidR="00272BC6" w:rsidRPr="00272BC6" w14:paraId="559F309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E7B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34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FC6C" w14:textId="5AF06F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72D6" w14:textId="29B623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26AC" w14:textId="44BBC5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97C2" w14:textId="791B05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D04F" w14:textId="32F268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</w:tr>
      <w:tr w:rsidR="00272BC6" w:rsidRPr="00272BC6" w14:paraId="0655984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77B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0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931B" w14:textId="5E6295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53C4" w14:textId="7792FF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61B1" w14:textId="32706E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94D4" w14:textId="3AA5B8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2E1A" w14:textId="5DED06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</w:tr>
      <w:tr w:rsidR="00272BC6" w:rsidRPr="00272BC6" w14:paraId="7AB296FE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FA6F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472DE" w14:textId="619D2D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109,814.00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67B080" w14:textId="3C7032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12,048,180.04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AF018" w14:textId="19F3A0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09C180" w14:textId="27D9A0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14435" w14:textId="659219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12,795,494.04 </w:t>
            </w:r>
          </w:p>
        </w:tc>
      </w:tr>
      <w:tr w:rsidR="00272BC6" w:rsidRPr="00272BC6" w14:paraId="7E44DFF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784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01E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47A0" w14:textId="6CD750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81E3" w14:textId="678FAE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ED95" w14:textId="656289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3A61" w14:textId="4A7188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7F7E" w14:textId="5842D3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</w:tr>
      <w:tr w:rsidR="00272BC6" w:rsidRPr="00272BC6" w14:paraId="114C658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0BC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1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E051" w14:textId="2E0496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5C84" w14:textId="6FBF1D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0CAC" w14:textId="1A10C8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D85B" w14:textId="481336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0BE7" w14:textId="73C614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</w:tr>
      <w:tr w:rsidR="00272BC6" w:rsidRPr="00272BC6" w14:paraId="28E648E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F9F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E2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0EC0" w14:textId="2607B3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D235" w14:textId="5FE4CC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4232" w14:textId="23F79B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7D9D" w14:textId="68DD55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B6D8" w14:textId="707054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</w:tr>
      <w:tr w:rsidR="00272BC6" w:rsidRPr="00272BC6" w14:paraId="0941C6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5D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99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8EDA" w14:textId="1AE046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F724" w14:textId="42B6F0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17E3" w14:textId="712B11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4A51" w14:textId="31D15D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B9CE" w14:textId="7A6FE9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1,050,000.00 </w:t>
            </w:r>
          </w:p>
        </w:tc>
      </w:tr>
      <w:tr w:rsidR="00272BC6" w:rsidRPr="00272BC6" w14:paraId="1D395B2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3B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12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4CB7" w14:textId="2DF819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E9BD" w14:textId="154704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C8A9" w14:textId="495A3B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BC6F" w14:textId="68F365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BB46" w14:textId="2430E2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2,384,814.00 </w:t>
            </w:r>
          </w:p>
        </w:tc>
      </w:tr>
      <w:tr w:rsidR="00272BC6" w:rsidRPr="00272BC6" w14:paraId="78959F6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B92A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11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EB85" w14:textId="612348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27FB" w14:textId="3D3567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2,019,590.28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99C8" w14:textId="7858A5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6014" w14:textId="10EDD9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B19C" w14:textId="438817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2,107,090.28 </w:t>
            </w:r>
          </w:p>
        </w:tc>
      </w:tr>
      <w:tr w:rsidR="00272BC6" w:rsidRPr="00272BC6" w14:paraId="4219EF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1750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9CE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09B6" w14:textId="7F511C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6E3F" w14:textId="76D1D1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4CB6" w14:textId="6B8761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DC8D" w14:textId="637592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DF6B" w14:textId="549D64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</w:tr>
      <w:tr w:rsidR="00272BC6" w:rsidRPr="00272BC6" w14:paraId="2DE688A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0C97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204A3C" w14:textId="17E796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21,324,080.00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CC9345" w14:textId="4AA9D3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3AB61B" w14:textId="06AFEF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68DCFC" w14:textId="6CE79C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F28BB6" w14:textId="764943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22,105,080.00 </w:t>
            </w:r>
          </w:p>
        </w:tc>
      </w:tr>
      <w:tr w:rsidR="00272BC6" w:rsidRPr="00272BC6" w14:paraId="4B0CC89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455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160FD3" w14:textId="106B15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4,338,960.00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9DA43" w14:textId="3E3003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6FDD4" w14:textId="4CAAD6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47E6A" w14:textId="468BCC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927E86" w14:textId="3C6821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4,338,960.00 </w:t>
            </w:r>
          </w:p>
        </w:tc>
      </w:tr>
      <w:tr w:rsidR="00272BC6" w:rsidRPr="00272BC6" w14:paraId="02EB828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881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34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0A6F" w14:textId="256153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F960" w14:textId="3C7F85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A26D" w14:textId="0AA5ED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2589" w14:textId="4AD417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CF04" w14:textId="6CA158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272BC6" w:rsidRPr="00272BC6" w14:paraId="5CBD6A6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C3A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2EE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B959" w14:textId="43FEE8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6C36" w14:textId="735186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4E94" w14:textId="25EB78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3A17" w14:textId="12E529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5247" w14:textId="4FE84E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</w:tr>
      <w:tr w:rsidR="00272BC6" w:rsidRPr="00272BC6" w14:paraId="5C8E1A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7A7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32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F9BE" w14:textId="1666EE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A35E" w14:textId="04E667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59F0" w14:textId="4BC7DC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31B7" w14:textId="728E17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180B" w14:textId="32AD63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</w:tr>
      <w:tr w:rsidR="00272BC6" w:rsidRPr="00272BC6" w14:paraId="7704C5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451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68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12E4" w14:textId="65FB58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8707" w14:textId="00A02F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D4FC" w14:textId="6ECBD3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9F49" w14:textId="1A8F05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841" w14:textId="429F78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272BC6" w:rsidRPr="00272BC6" w14:paraId="7907265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FF4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37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0A0A" w14:textId="06B060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F0AE" w14:textId="290DB9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3541" w14:textId="4B8659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C39F" w14:textId="6E00E0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8FC4" w14:textId="6E7A09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272BC6" w:rsidRPr="00272BC6" w14:paraId="056395A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6FD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D0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A026" w14:textId="44CA72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9491" w14:textId="71A7FE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5271" w14:textId="401FBA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BC19" w14:textId="76635C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FF73" w14:textId="6F704D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</w:tr>
      <w:tr w:rsidR="00272BC6" w:rsidRPr="00272BC6" w14:paraId="54FDFC3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FF3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FB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F7FE" w14:textId="760E3D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B85F" w14:textId="4822F7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D9F9" w14:textId="69821C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E78C" w14:textId="088939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A147" w14:textId="424B65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49,920.00 </w:t>
            </w:r>
          </w:p>
        </w:tc>
      </w:tr>
      <w:tr w:rsidR="00272BC6" w:rsidRPr="00272BC6" w14:paraId="6D34ADC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147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9FC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4505" w14:textId="2B2104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C5B5" w14:textId="0FACCA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7203" w14:textId="417DE2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E54F" w14:textId="37F956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6EA3B" w14:textId="201BC7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</w:tr>
      <w:tr w:rsidR="00272BC6" w:rsidRPr="00272BC6" w14:paraId="695FCC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7F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CA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6D09" w14:textId="0A961C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D4CD" w14:textId="3455F4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90D8" w14:textId="10C908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762E" w14:textId="4EAAF8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6FAB" w14:textId="2E380D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74,880.00 </w:t>
            </w:r>
          </w:p>
        </w:tc>
      </w:tr>
      <w:tr w:rsidR="00272BC6" w:rsidRPr="00272BC6" w14:paraId="4C6E744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FD7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95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340F" w14:textId="7208B9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D19B" w14:textId="36EB85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FCF4" w14:textId="4D46E4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F339" w14:textId="5C4A7A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93F2" w14:textId="5E5301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</w:tr>
      <w:tr w:rsidR="00272BC6" w:rsidRPr="00272BC6" w14:paraId="55D29E4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F4E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45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AEC3" w14:textId="3DD336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4215" w14:textId="64EB3B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1843" w14:textId="2D265C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AD1C" w14:textId="718F66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0529" w14:textId="458889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272BC6" w:rsidRPr="00272BC6" w14:paraId="0DA406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F06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8A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DCBE" w14:textId="43E3AF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4815" w14:textId="27872A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060C" w14:textId="21FDDE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F1F2" w14:textId="1697D7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A6DC" w14:textId="1EAB77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272BC6" w:rsidRPr="00272BC6" w14:paraId="128FC43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A99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0E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59E13" w14:textId="074AE4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2E8C" w14:textId="60F572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7D10" w14:textId="1AB249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9E3D" w14:textId="04826D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5250" w14:textId="2B3990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82,680.00 </w:t>
            </w:r>
          </w:p>
        </w:tc>
      </w:tr>
      <w:tr w:rsidR="00272BC6" w:rsidRPr="00272BC6" w14:paraId="1FED7AA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672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FF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3B65" w14:textId="255623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7B7F" w14:textId="5F7B91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5688" w14:textId="7AE7BD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7D5E" w14:textId="426FF1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6773" w14:textId="1C5E34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272BC6" w:rsidRPr="00272BC6" w14:paraId="6B3A6AD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09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17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1E8A" w14:textId="35E46D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740A" w14:textId="433DEF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90A8" w14:textId="52F755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3B86" w14:textId="36AB4B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49E3" w14:textId="22DFC9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</w:tr>
      <w:tr w:rsidR="00272BC6" w:rsidRPr="00272BC6" w14:paraId="3166723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2CB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E2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A079" w14:textId="34840E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258A" w14:textId="3B7980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E1F8" w14:textId="1803B0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C1D4" w14:textId="62E93F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E0F2" w14:textId="1B3D52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272BC6" w:rsidRPr="00272BC6" w14:paraId="68D175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87A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13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3926" w14:textId="60C298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1170" w14:textId="37DBD4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DD17" w14:textId="478168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884E" w14:textId="116ADF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0715" w14:textId="16A7A0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272BC6" w:rsidRPr="00272BC6" w14:paraId="4C33D4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52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87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D863" w14:textId="6BF3E3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1FB6" w14:textId="1A21D6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6979" w14:textId="6B5273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376C" w14:textId="5EE414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1CBA" w14:textId="1B6F7F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272BC6" w:rsidRPr="00272BC6" w14:paraId="3F3EEF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9DC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3A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0FAF" w14:textId="7569D5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8AAE" w14:textId="728E85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3ACE" w14:textId="463AC0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EBF2" w14:textId="189907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672D" w14:textId="73B92B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272BC6" w:rsidRPr="00272BC6" w14:paraId="67EADC4E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4DC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B38F8" w14:textId="2D204A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13,363,000.00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584FF" w14:textId="2A5C69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BEAB4" w14:textId="55CCB2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7BA7A" w14:textId="3A9576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F9D847" w14:textId="186B38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13,363,000.00 </w:t>
            </w:r>
          </w:p>
        </w:tc>
      </w:tr>
      <w:tr w:rsidR="00272BC6" w:rsidRPr="00272BC6" w14:paraId="60BA87C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85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34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B33B" w14:textId="66A70F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AB3B" w14:textId="12C2E5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FD9B" w14:textId="786B03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F0DB" w14:textId="1631CA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01B1" w14:textId="47E49D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272BC6" w:rsidRPr="00272BC6" w14:paraId="769D3AF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83B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1F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FD03" w14:textId="2F9EFD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163C" w14:textId="579590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D3D6" w14:textId="0E1183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A2FD" w14:textId="23DB76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B37C" w14:textId="0359E7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272BC6" w:rsidRPr="00272BC6" w14:paraId="233212A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CFC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AC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F9D3" w14:textId="228204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0851" w14:textId="490B09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DE26" w14:textId="7F2633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1FA9" w14:textId="3D00D9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77A7" w14:textId="713C71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</w:tr>
      <w:tr w:rsidR="00272BC6" w:rsidRPr="00272BC6" w14:paraId="6B23D53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2EB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50D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5D36" w14:textId="46FD36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CC4A" w14:textId="272AE9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0D66" w14:textId="1DF415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C5B6" w14:textId="721439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D825" w14:textId="764F0D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272BC6" w:rsidRPr="00272BC6" w14:paraId="674E3CD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672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C6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B7D9" w14:textId="36EF02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E669" w14:textId="11F8B5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172D" w14:textId="2F9E14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C255" w14:textId="2998BA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1E6E" w14:textId="369F7C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272BC6" w:rsidRPr="00272BC6" w14:paraId="5B0CE9A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137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A4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F172" w14:textId="44DC8B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633A" w14:textId="4D9C1C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867C" w14:textId="44B167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F16D" w14:textId="202383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CD25" w14:textId="2C98A8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272BC6" w:rsidRPr="00272BC6" w14:paraId="02E2A0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D2E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1A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71D4" w14:textId="5F04E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9F91" w14:textId="13E745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5770" w14:textId="3C8628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54C0" w14:textId="3A355F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4DB4" w14:textId="6EA57A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272BC6" w:rsidRPr="00272BC6" w14:paraId="7FABCC8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44F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61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528F" w14:textId="5C3725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FCE1" w14:textId="68D934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4823" w14:textId="2F3B63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3F0E" w14:textId="089239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DBD9" w14:textId="325955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272BC6" w:rsidRPr="00272BC6" w14:paraId="7681DDD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32A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51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C669" w14:textId="1270B7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92E5" w14:textId="5E1227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327B" w14:textId="308A1E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89F9" w14:textId="648BCE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07E0" w14:textId="6C2844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272BC6" w:rsidRPr="00272BC6" w14:paraId="73A0483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37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0AA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10BA" w14:textId="1F7582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5170" w14:textId="029C5C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136C" w14:textId="1D4A9E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0FFE" w14:textId="60E310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637C" w14:textId="477205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272BC6" w:rsidRPr="00272BC6" w14:paraId="2E8FB8C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3A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56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407A" w14:textId="6E2D1F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7FAF" w14:textId="2EA096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1DB0" w14:textId="239445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BCDB" w14:textId="163A18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082F" w14:textId="168DF7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272BC6" w:rsidRPr="00272BC6" w14:paraId="0BB53C6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C1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EE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C59F" w14:textId="342937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717B" w14:textId="41A846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33F5" w14:textId="025590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014B" w14:textId="00B2C9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5211" w14:textId="268181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</w:tr>
      <w:tr w:rsidR="00272BC6" w:rsidRPr="00272BC6" w14:paraId="4B36700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A25C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73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FD24" w14:textId="275E06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EDD9" w14:textId="662B23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7847" w14:textId="2A888B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E91F" w14:textId="4D536C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4658" w14:textId="0536CC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</w:tr>
      <w:tr w:rsidR="00272BC6" w:rsidRPr="00272BC6" w14:paraId="7C17515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41F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6CC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B58E" w14:textId="0DF1CD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0053" w14:textId="65E558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2DD2" w14:textId="3642A8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9793" w14:textId="60FC8B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A46A" w14:textId="249CB1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272BC6" w:rsidRPr="00272BC6" w14:paraId="123CCF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96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B8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47D9" w14:textId="4D6850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100C" w14:textId="4B6808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6963" w14:textId="569ED9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A51" w14:textId="00F8DF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469D" w14:textId="615A99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272BC6" w:rsidRPr="00272BC6" w14:paraId="15CA70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77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25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A8D0" w14:textId="2744B6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1ABE" w14:textId="3C0ECB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A312" w14:textId="42F25A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BE49" w14:textId="1DACE5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BAB5" w14:textId="1812E0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</w:tr>
      <w:tr w:rsidR="00272BC6" w:rsidRPr="00272BC6" w14:paraId="04AFDC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986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A2C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4C2C" w14:textId="1DEA3B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E238" w14:textId="3EAD9A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3497" w14:textId="54A681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722C" w14:textId="4E36CE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02B7" w14:textId="3A6AC9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</w:tr>
      <w:tr w:rsidR="00272BC6" w:rsidRPr="00272BC6" w14:paraId="3D53490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559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CBB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EBDF" w14:textId="294CB8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BE87" w14:textId="570B3B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05D4" w14:textId="49907D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61D" w14:textId="2EA995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470C" w14:textId="55B3D8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272BC6" w:rsidRPr="00272BC6" w14:paraId="18F9403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C88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5F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5CEB" w14:textId="746FA4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508D" w14:textId="2C9E55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1F5F" w14:textId="1E77CF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4A84" w14:textId="529CA2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7CF9" w14:textId="2EF63A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272BC6" w:rsidRPr="00272BC6" w14:paraId="0CE8878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042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E4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05DA" w14:textId="37C242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4374" w14:textId="31A008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8905" w14:textId="6FA5CB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2A0E" w14:textId="5BF9E5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3F7D" w14:textId="3E3B36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272BC6" w:rsidRPr="00272BC6" w14:paraId="2D47D3A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466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98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7E36" w14:textId="6E558D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8,937,520.00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DA3A" w14:textId="72E8B2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993F" w14:textId="7C1DD8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C5E0" w14:textId="6F298E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00DC" w14:textId="1FD209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8,937,520.00 </w:t>
            </w:r>
          </w:p>
        </w:tc>
      </w:tr>
      <w:tr w:rsidR="00272BC6" w:rsidRPr="00272BC6" w14:paraId="2EE3C2A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ED4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28D3E" w14:textId="57C982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2,957,560.00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1817B" w14:textId="0C4724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10C33" w14:textId="44B97B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DC311" w14:textId="03567E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1220A" w14:textId="6150E5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3,032,560.00 </w:t>
            </w:r>
          </w:p>
        </w:tc>
      </w:tr>
      <w:tr w:rsidR="00272BC6" w:rsidRPr="00272BC6" w14:paraId="6F08CBD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080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C3A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DE20" w14:textId="63890E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4B77" w14:textId="268BA4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E5E8" w14:textId="1BF017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A84E" w14:textId="62F5F6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ACED" w14:textId="25474F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272BC6" w:rsidRPr="00272BC6" w14:paraId="20DF12A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136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17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D6E8" w14:textId="4D4AB8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760D" w14:textId="098F4E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7631" w14:textId="66C425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E262" w14:textId="57B6CA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A65E" w14:textId="49BDA3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272BC6" w:rsidRPr="00272BC6" w14:paraId="24F4616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C6F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EC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0457" w14:textId="0BCF18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71F8" w14:textId="02A67A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144E" w14:textId="2ADA07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CCAD" w14:textId="27E50C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E89A" w14:textId="7D0C83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272BC6" w:rsidRPr="00272BC6" w14:paraId="71254B1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926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C8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106E" w14:textId="49426B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07C2" w14:textId="337F35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4F02" w14:textId="4B797D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B5AC" w14:textId="4D205C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7F4B" w14:textId="093414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</w:tr>
      <w:tr w:rsidR="00272BC6" w:rsidRPr="00272BC6" w14:paraId="06B0BA5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EB2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0B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5FB6" w14:textId="1CE63D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97B8" w14:textId="18870D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3613" w14:textId="7E789B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54A3" w14:textId="1C683F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D3F8" w14:textId="3AFC23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204,480.00 </w:t>
            </w:r>
          </w:p>
        </w:tc>
      </w:tr>
      <w:tr w:rsidR="00272BC6" w:rsidRPr="00272BC6" w14:paraId="7DEB3B3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A89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4A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3DEE" w14:textId="021F4A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A31C" w14:textId="546845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463B" w14:textId="41AC02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3633" w14:textId="7B6C4B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2A9B" w14:textId="58EED1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235,800.00 </w:t>
            </w:r>
          </w:p>
        </w:tc>
      </w:tr>
      <w:tr w:rsidR="00272BC6" w:rsidRPr="00272BC6" w14:paraId="0DC360E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CFE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C00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016B" w14:textId="7644E6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5225" w14:textId="25CD4E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1AF9" w14:textId="7490A3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B1E1" w14:textId="422E0C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BC1B" w14:textId="01D5CA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272BC6" w:rsidRPr="00272BC6" w14:paraId="4780D21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A4D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D6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6792" w14:textId="0494E6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1B76" w14:textId="0578F5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6C63" w14:textId="630405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E8BC" w14:textId="0463BB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34D0" w14:textId="4E0EA6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272BC6" w:rsidRPr="00272BC6" w14:paraId="30004B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8EE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35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D38E" w14:textId="073D99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A907" w14:textId="022C40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6576" w14:textId="3784A4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1345" w14:textId="635742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08C6" w14:textId="1D3BEA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272BC6" w:rsidRPr="00272BC6" w14:paraId="0949D85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D0C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C1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B2DD" w14:textId="0694C1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A81E" w14:textId="7992F8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6CF3" w14:textId="4384B7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8F41" w14:textId="0097B6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7672" w14:textId="41C5D5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272BC6" w:rsidRPr="00272BC6" w14:paraId="36CDBF3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D75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C99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CDEC" w14:textId="1CBC77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9A52" w14:textId="4A7E19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0F7B" w14:textId="76B437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FDDC3" w14:textId="4A8987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7A40" w14:textId="521DAE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272BC6" w:rsidRPr="00272BC6" w14:paraId="2B31104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A1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32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B881" w14:textId="00722B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1649" w14:textId="2D019B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DE29" w14:textId="149484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BD75" w14:textId="6E616E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275E" w14:textId="7A4AF3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272BC6" w:rsidRPr="00272BC6" w14:paraId="25562F5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A20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D6026" w14:textId="194D73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E9D8C" w14:textId="223009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8ED490" w14:textId="580E42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D3D7B" w14:textId="59C69D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AC4EC2" w14:textId="55F9AB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272BC6" w:rsidRPr="00272BC6" w14:paraId="7A98B6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AF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C52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8BE2" w14:textId="4560A7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3178" w14:textId="2EFC3B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B6A9" w14:textId="579607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6B14" w14:textId="0C03F6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B780" w14:textId="49DB28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272BC6" w:rsidRPr="00272BC6" w14:paraId="14DCEA5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9EBA1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562A53" w14:textId="4F74DB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20,406,761.72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A27270" w14:textId="48FA43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0D2D0B" w14:textId="0D2565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5F096" w14:textId="76A48A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6B926C" w14:textId="0D56D9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20,406,761.72 </w:t>
            </w:r>
          </w:p>
        </w:tc>
      </w:tr>
      <w:tr w:rsidR="00272BC6" w:rsidRPr="00272BC6" w14:paraId="62C6FC2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5D7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98946" w14:textId="3222DB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4,057,448.80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404BF" w14:textId="2802C2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6BD59" w14:textId="26E180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EACE61" w14:textId="4B033F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FC5147" w14:textId="54E062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4,057,448.80 </w:t>
            </w:r>
          </w:p>
        </w:tc>
      </w:tr>
      <w:tr w:rsidR="00272BC6" w:rsidRPr="00272BC6" w14:paraId="5859112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BC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2A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B037" w14:textId="3F5BA9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E74D" w14:textId="6AA60A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4D17" w14:textId="557C4E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3635" w14:textId="244E7B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7AB4" w14:textId="5B2C67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72D95D9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3BC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7C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177D" w14:textId="6B5A6C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D9D8" w14:textId="4EF01C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2B18" w14:textId="737682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FE14" w14:textId="0E950B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20E3F" w14:textId="2EFCFF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39CCB5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D6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71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46B7" w14:textId="1F1175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C70E" w14:textId="58DAB9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1F21" w14:textId="37D8C2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13EC" w14:textId="530384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23F8" w14:textId="3309A0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62930CA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5DD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3B1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FC47" w14:textId="2718E1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085C" w14:textId="5FDC5F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7FB8" w14:textId="710F02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AEEE" w14:textId="3938EB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A851" w14:textId="7743A8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6A653C5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A66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D6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7A00" w14:textId="297A94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182,773.80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40BE" w14:textId="0F3004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A4D8" w14:textId="02772B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DAFE" w14:textId="1B279B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2B19" w14:textId="11F25E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182,773.80 </w:t>
            </w:r>
          </w:p>
        </w:tc>
      </w:tr>
      <w:tr w:rsidR="00272BC6" w:rsidRPr="00272BC6" w14:paraId="615705E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C2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18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2F2C" w14:textId="227A09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8D24" w14:textId="75F72C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75F8" w14:textId="259F40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8768" w14:textId="207A43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723A" w14:textId="0A6712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7AC0271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AE2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C2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2A2D" w14:textId="3A1E40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F8AE" w14:textId="5904B9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207A" w14:textId="1AB265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A60F" w14:textId="22E5DD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8111" w14:textId="6DFE37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272BC6" w:rsidRPr="00272BC6" w14:paraId="1E5ED39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792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E3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D762" w14:textId="274102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8652" w14:textId="34C151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C8B7" w14:textId="2AA015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CE8D" w14:textId="28150F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C84B" w14:textId="149829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6360724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1D3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29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FE98" w14:textId="1EA26A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ACC4" w14:textId="21F398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A0BE" w14:textId="0E6C49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52B8" w14:textId="5888F0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316F" w14:textId="012A1C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702706D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BA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16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78BD" w14:textId="34F1A1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CD90" w14:textId="01F92A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0486" w14:textId="03570D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6226" w14:textId="6AC51E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FAA2" w14:textId="391810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3689F5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E7F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0B8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6779" w14:textId="632CB7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605B" w14:textId="4A847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3CE7" w14:textId="266072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4C73" w14:textId="170D64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AC25" w14:textId="78C2B0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17E83D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75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24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E2A6" w14:textId="2003C4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A850" w14:textId="4C613A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CCC4" w14:textId="3C5D53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74E4" w14:textId="04529E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01B5" w14:textId="1358F3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0763ACE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AA2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BB580" w14:textId="7F832B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ED76C" w14:textId="52B5AA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B47F7" w14:textId="520431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4A0C7" w14:textId="5291F9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8C828" w14:textId="513571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</w:tr>
      <w:tr w:rsidR="00272BC6" w:rsidRPr="00272BC6" w14:paraId="7C92890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C01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0D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77CB" w14:textId="3070F5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5EA5" w14:textId="4C77C9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A6C0" w14:textId="6CD385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E02E" w14:textId="675295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02AD" w14:textId="01D1E6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52C1B03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ECE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3D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0E8E" w14:textId="277B21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5325" w14:textId="20E6DE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B26B" w14:textId="79FEB7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9601" w14:textId="45D058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A63C0" w14:textId="3D98A1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4B838D2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204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9A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B3C9" w14:textId="0964F7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0960" w14:textId="0C548C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7C2C" w14:textId="3090F7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64B9" w14:textId="634EFE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E4A7" w14:textId="3C6CBF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272BC6" w:rsidRPr="00272BC6" w14:paraId="1B7C8DB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B94C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18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D7B0" w14:textId="3FAEE1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4E2F" w14:textId="7D567E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3359" w14:textId="78E2BC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A1BD" w14:textId="1C375B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C9A4" w14:textId="11A85F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1822C02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95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F21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1980" w14:textId="2EF17B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FF5F" w14:textId="6021EE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9803" w14:textId="788428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5CEB" w14:textId="34ADC5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7532" w14:textId="3EDACE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66F4C6C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77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D457F5" w14:textId="133007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3,940,991.35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F3D4E" w14:textId="19DAF8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F9101" w14:textId="0CA1CE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AD1FE" w14:textId="25F293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26D637" w14:textId="5A249E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3,940,991.35 </w:t>
            </w:r>
          </w:p>
        </w:tc>
      </w:tr>
      <w:tr w:rsidR="00272BC6" w:rsidRPr="00272BC6" w14:paraId="6C20D77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9E4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54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7FF3" w14:textId="571A15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203,791.35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440D" w14:textId="63EC97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7818" w14:textId="15AB65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1499" w14:textId="55FE8D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104A" w14:textId="7021BD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203,791.35 </w:t>
            </w:r>
          </w:p>
        </w:tc>
      </w:tr>
      <w:tr w:rsidR="00272BC6" w:rsidRPr="00272BC6" w14:paraId="2D09404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823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11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0E9D" w14:textId="60CE7C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8F01" w14:textId="69CE7D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D766" w14:textId="2FF790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738B" w14:textId="1AAC43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6F57" w14:textId="76FB54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39F1C9A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314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A6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6663" w14:textId="3DE3B6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D51C" w14:textId="551605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5149" w14:textId="390FC5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4D9D" w14:textId="5F844C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4FAF" w14:textId="13E540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4D9A4DB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13C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61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6463" w14:textId="336212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1E2E" w14:textId="6F770E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99FB" w14:textId="5EE50B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3921" w14:textId="36D6F4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8614" w14:textId="5C8460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75A3EB4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40B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B7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FBCF" w14:textId="715B66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0C17" w14:textId="22E004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AAAB" w14:textId="05962E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3392" w14:textId="38291C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2C86" w14:textId="0C0FCB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4EDF743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580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03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DA39" w14:textId="5E3226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B1F8" w14:textId="488B25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5B33" w14:textId="72303C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80C6" w14:textId="73D1C9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368D" w14:textId="3EABD8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54DFDD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98C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08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953B" w14:textId="3F83C1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AB28" w14:textId="552609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1C9B" w14:textId="0DD73E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68E9" w14:textId="3115CB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7D33" w14:textId="62502A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02099C3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204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F0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44A8" w14:textId="13E665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C2E3" w14:textId="7E967F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60D9" w14:textId="75D20A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2B44" w14:textId="47B0F0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9FA6" w14:textId="638F55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272BC6" w:rsidRPr="00272BC6" w14:paraId="1BD0CCE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BB0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88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8441" w14:textId="3D6195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97BE" w14:textId="26D214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1D9A" w14:textId="1DC3A7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8506" w14:textId="7EDA1C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F620" w14:textId="38991C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1C9BDD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21C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FFE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3150" w14:textId="362D9F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8F38" w14:textId="687A82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4A49" w14:textId="1514E4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9E6C" w14:textId="1ACDE7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6F25" w14:textId="33C18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178B525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B33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6F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E379" w14:textId="757084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50B4" w14:textId="482F85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E8A1" w14:textId="15CD78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16CB" w14:textId="2A1677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4D53" w14:textId="0BC857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4BDDFA7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21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77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3420" w14:textId="2B18BB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A8B5" w14:textId="4B8FFA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15F9" w14:textId="6CC7D1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D2B6" w14:textId="428643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87A2" w14:textId="192136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3961ACF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E6B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C5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88D7" w14:textId="0886F7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77D8" w14:textId="7AE695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8E36" w14:textId="6E2793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60F1" w14:textId="5AE4A5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E7A6" w14:textId="2F083D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7ACB76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440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8C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F27C" w14:textId="49EFFC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6327" w14:textId="4ED631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9C6C" w14:textId="63235F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991F" w14:textId="6E7EC0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3BD0" w14:textId="5BCD19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00A289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0C1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FB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EF5D" w14:textId="21642F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9761" w14:textId="542D08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40D9" w14:textId="01C110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B226" w14:textId="3E1F16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5C9C" w14:textId="0E05A1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3A7D3D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F73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832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5119" w14:textId="480A63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156E" w14:textId="47BB79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05A2" w14:textId="5E402A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0E8A" w14:textId="273B84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932F" w14:textId="33F3BA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3341EB3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6DA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BC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50D8" w14:textId="2CF346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6DFF" w14:textId="2E33C5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AF79" w14:textId="6C295A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74A6" w14:textId="1B250B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C6EB" w14:textId="279AF0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272BC6" w:rsidRPr="00272BC6" w14:paraId="27A94F8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90E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5B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C184" w14:textId="44C52C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DB44" w14:textId="4D4F7F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9245" w14:textId="2479CD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67B6" w14:textId="0F8486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9AB1" w14:textId="2A8554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272BC6" w:rsidRPr="00272BC6" w14:paraId="40EFAB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C65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24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FF35" w14:textId="4F485B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682C" w14:textId="5AE1E1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4A9B" w14:textId="390FED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086F" w14:textId="246687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41FE" w14:textId="19004E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39025F7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295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BE3B4" w14:textId="0115C4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B2E82" w14:textId="40ED61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3FAF4" w14:textId="44A9DB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6F58A6" w14:textId="49B5AF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8DBBB" w14:textId="5B9948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</w:tr>
      <w:tr w:rsidR="00272BC6" w:rsidRPr="00272BC6" w14:paraId="68D8603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60D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2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2C1A" w14:textId="307807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C913" w14:textId="7BF1FF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9965" w14:textId="1C8022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A12" w14:textId="4C577E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9157" w14:textId="59BA7A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5410963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F0A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BEC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5B3F" w14:textId="02940A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5023" w14:textId="070100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16CB" w14:textId="039C6F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5FE9" w14:textId="39B9E4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325A" w14:textId="15B2A2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005F9E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941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27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50DF" w14:textId="0562D3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7F30" w14:textId="0EA441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17CD" w14:textId="0C66A0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D244" w14:textId="64D4E2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366C" w14:textId="3EC8EB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2FCD69B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344F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88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1D3B" w14:textId="015FD0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2479" w14:textId="5DFB28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FDBD" w14:textId="3C5FED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15F3" w14:textId="45F71F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E065" w14:textId="7941B9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7671CC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D88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686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6E05" w14:textId="4FCC92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829E" w14:textId="21B24B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C836" w14:textId="122545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66CE" w14:textId="455286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C699" w14:textId="7D9FC4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03AE229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D9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F4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4592" w14:textId="6FC0C3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AC43" w14:textId="43316E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3EFC" w14:textId="4E1C30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2FAC" w14:textId="52F887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C981" w14:textId="5D55D4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4EC9BAD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EF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BA2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6FE3" w14:textId="270C97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2086" w14:textId="35DDC1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6BFB" w14:textId="7D7634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319C" w14:textId="48B126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0035" w14:textId="520B3D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272BC6" w:rsidRPr="00272BC6" w14:paraId="1AE8F46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65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F8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0F712" w14:textId="4805AC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3638" w14:textId="1C3F5C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E387" w14:textId="78E2B2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7C13" w14:textId="13AF5F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AA0F" w14:textId="6AD5D8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56143E2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46C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ED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47F9" w14:textId="0D0FA1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F0B9" w14:textId="0799F6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DE2B" w14:textId="69BD43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064A" w14:textId="0FFD70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2997" w14:textId="33E90C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4E75D1B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03B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CA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CF3C" w14:textId="55A361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27B4" w14:textId="4CD092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2EB6" w14:textId="7D3ECE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BB95" w14:textId="53DAF4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1733" w14:textId="74C84E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743A39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B8A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6C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F5C1" w14:textId="6E6C0B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C6CE" w14:textId="7D8FBA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9092" w14:textId="11EF76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12AB" w14:textId="5A5BBF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1DF5" w14:textId="21353C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06B52CC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FCF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15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BB69" w14:textId="5E2040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9240" w14:textId="5A8BA0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5254" w14:textId="7CFF49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3962" w14:textId="70D1DA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286A" w14:textId="5FA7DF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1B5247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64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A0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699F" w14:textId="4C23C4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A8F0" w14:textId="550F68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F787" w14:textId="37A22C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9EBC" w14:textId="75FEB4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379C" w14:textId="42CB2B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0169AD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C56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F20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587F" w14:textId="0B2EC5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E032" w14:textId="120FA3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B2C2" w14:textId="795A17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9917" w14:textId="44CF26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CE50" w14:textId="289F8A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005AAEF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F0A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BE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50FE" w14:textId="1E90F3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1816" w14:textId="477EDC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C87A" w14:textId="6B2318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CAE8" w14:textId="2D5CDF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1747" w14:textId="758F50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1FD3E64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758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842DC" w14:textId="7C8FF9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6,128,630.82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9E469" w14:textId="42EAB0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BC7EF7" w14:textId="659134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F9602" w14:textId="76CB63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0AA11E" w14:textId="0E951A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6,128,630.82 </w:t>
            </w:r>
          </w:p>
        </w:tc>
      </w:tr>
      <w:tr w:rsidR="00272BC6" w:rsidRPr="00272BC6" w14:paraId="6883099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6C8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51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4D1A" w14:textId="439D6A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109,565.82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C58C" w14:textId="202F6B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634D" w14:textId="06345B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59D6" w14:textId="628B3F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50EA" w14:textId="3799F8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109,565.82 </w:t>
            </w:r>
          </w:p>
        </w:tc>
      </w:tr>
      <w:tr w:rsidR="00272BC6" w:rsidRPr="00272BC6" w14:paraId="67FF751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6F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32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61C9" w14:textId="33E77A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248C" w14:textId="764FE4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0878" w14:textId="241780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5DD" w14:textId="29D536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CA0F" w14:textId="4D3B2B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272BC6" w:rsidRPr="00272BC6" w14:paraId="52593CB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B02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A7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7336" w14:textId="524CC2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E87D" w14:textId="568DCF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BF47" w14:textId="1235F9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E5A8" w14:textId="0B0FB2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0FDB" w14:textId="578E47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602A7EB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C2C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3EA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65B7" w14:textId="7AD553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E26A" w14:textId="2FBCBA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DA8B" w14:textId="5C6482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DEC2" w14:textId="6F3138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B7A1" w14:textId="11F45E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175362B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B390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64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4F97" w14:textId="0A8A1D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0D67" w14:textId="307505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EF12" w14:textId="7B56DA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90C2" w14:textId="6BFE06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28D6" w14:textId="772EDE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59D4177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F29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3C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67E3" w14:textId="6BC549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5465" w14:textId="1B810D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73DF" w14:textId="0EDE95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E8EF" w14:textId="684CC3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F823" w14:textId="2666A4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2742677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494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F0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2A73" w14:textId="3FB4CA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4003" w14:textId="798DC5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A2CF" w14:textId="3BE865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B25F" w14:textId="6D7EF1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B1D0" w14:textId="5C39DA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710EBC6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7C6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86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5897" w14:textId="70067B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6C7A" w14:textId="4C1295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5313" w14:textId="3A8E01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AFB4" w14:textId="728E8E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8840" w14:textId="7A8DF5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272BC6" w:rsidRPr="00272BC6" w14:paraId="5240967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E2A8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8E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5343" w14:textId="51761B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FF0B" w14:textId="4FC069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15CD" w14:textId="4982D9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13EB" w14:textId="00C983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DEBEC" w14:textId="4B2AC1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3573991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A77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E3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B444" w14:textId="045220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8A58" w14:textId="66D58A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0C30" w14:textId="3CCDCF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6C73" w14:textId="6F1BE2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378B" w14:textId="6C9311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44D0096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455F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3D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BE48" w14:textId="47359F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98D7" w14:textId="0F3447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2AEC" w14:textId="652867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9021" w14:textId="38FD1F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0726" w14:textId="6FC91E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4A2657F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4C0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EE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20EE" w14:textId="0F277F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4619" w14:textId="40193F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D552" w14:textId="7E3598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7306" w14:textId="069181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648E" w14:textId="4D3ECD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2296CF6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9FB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A96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8F0B" w14:textId="7E2BD2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67AD" w14:textId="16C907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00B0" w14:textId="6E973E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1331" w14:textId="43EF224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FB91" w14:textId="075EA1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272BC6" w:rsidRPr="00272BC6" w14:paraId="7A69D44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07C1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48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FD6B" w14:textId="50E38F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CD22" w14:textId="73617B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7454" w14:textId="48BDA1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B8B2" w14:textId="6499ED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A02" w14:textId="267D72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2471358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22B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10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C2BE" w14:textId="3C22E4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E9F0" w14:textId="056696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59DA" w14:textId="6C952C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ECD7" w14:textId="7B9880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DC7C" w14:textId="00A901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1D7C5F9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E28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18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04DB" w14:textId="548390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09F8" w14:textId="251C22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42B7" w14:textId="768682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353A" w14:textId="4DD483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EE9A" w14:textId="42398B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22BF154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BEE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20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AB2D" w14:textId="76AE5C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8823" w14:textId="1655D3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4F54" w14:textId="53DEAE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0E3A" w14:textId="636553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9BB3" w14:textId="30EB09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139311D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29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11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28B9" w14:textId="12C472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06D1" w14:textId="6A4092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4FF3" w14:textId="06EC9E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F6D1" w14:textId="18164D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8C17" w14:textId="103C0F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20016A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3E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C2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B827" w14:textId="00A5D0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89B5" w14:textId="54963D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C0EA" w14:textId="29A7D4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BAE1" w14:textId="3DF6C6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3CD5" w14:textId="21ECAA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272BC6" w:rsidRPr="00272BC6" w14:paraId="292531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D25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21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69F3" w14:textId="20E4BF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885E" w14:textId="509871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36A5" w14:textId="1F92D0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3023" w14:textId="1A0ABE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5A2D" w14:textId="7F860D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272BC6" w:rsidRPr="00272BC6" w14:paraId="3A2730A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19B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192502" w14:textId="199F83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45,818,867.44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ADA971" w14:textId="2F6094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279,888,138.00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49F88B" w14:textId="33C7AF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D0B195" w14:textId="77FB58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3966BD" w14:textId="7EE098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325,707,005.44 </w:t>
            </w:r>
          </w:p>
        </w:tc>
      </w:tr>
      <w:tr w:rsidR="00272BC6" w:rsidRPr="00272BC6" w14:paraId="112FFCF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383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49CBB3" w14:textId="0B61C4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8,106,324.66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8558A" w14:textId="6C3E01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14,974,196.00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965BDD" w14:textId="10F8E1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EE0C3" w14:textId="414BFF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116A84" w14:textId="1D27A9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23,080,520.66 </w:t>
            </w:r>
          </w:p>
        </w:tc>
      </w:tr>
      <w:tr w:rsidR="00272BC6" w:rsidRPr="00272BC6" w14:paraId="5E84D6B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8F7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42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3D9C" w14:textId="5961A1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4B2A" w14:textId="40D709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344A" w14:textId="0A9F3F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F743" w14:textId="17A2A5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B343" w14:textId="73A33D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2,076,830.00 </w:t>
            </w:r>
          </w:p>
        </w:tc>
      </w:tr>
      <w:tr w:rsidR="00272BC6" w:rsidRPr="00272BC6" w14:paraId="0266BA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E58B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3D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3C26" w14:textId="145EBA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2599" w14:textId="2C3F69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1,331,652.00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FD01" w14:textId="0EF79C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EAF5" w14:textId="6B5384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B790" w14:textId="09AE7D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2,587,748.53 </w:t>
            </w:r>
          </w:p>
        </w:tc>
      </w:tr>
      <w:tr w:rsidR="00272BC6" w:rsidRPr="00272BC6" w14:paraId="770DE55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FE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5D2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6ADA" w14:textId="641346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0F6D" w14:textId="5D1880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9A775" w14:textId="1F2C7D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0BB3" w14:textId="13BFA1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7D7D" w14:textId="7A20F4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272BC6" w:rsidRPr="00272BC6" w14:paraId="66B369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59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199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EF59" w14:textId="39789F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0618" w14:textId="6A8740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9B9C" w14:textId="18A980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A828" w14:textId="3E9ED3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E35F" w14:textId="59169F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272BC6" w:rsidRPr="00272BC6" w14:paraId="54CBA7F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066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5D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5C05" w14:textId="411307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535" w14:textId="3B923E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27B4" w14:textId="0DC557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EB33" w14:textId="259416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CFF5" w14:textId="7E9A44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272BC6" w:rsidRPr="00272BC6" w14:paraId="09D592A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7B7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EA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4363" w14:textId="781F15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24C6" w14:textId="35E1B0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1,850,236.00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AADA" w14:textId="18DE88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4EC1" w14:textId="21D69E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08A0" w14:textId="7CBF9C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2,246,606.00 </w:t>
            </w:r>
          </w:p>
        </w:tc>
      </w:tr>
      <w:tr w:rsidR="00272BC6" w:rsidRPr="00272BC6" w14:paraId="45FAC8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8EBA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3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3FB3" w14:textId="24943E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980A" w14:textId="2668AF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5B3A" w14:textId="1CC07E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7E42" w14:textId="511BCE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A10A" w14:textId="2CCDC3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272BC6" w:rsidRPr="00272BC6" w14:paraId="1F834B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DAA5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45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1D3D" w14:textId="17DF27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663,308.80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6702" w14:textId="4574DF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7,347,824.00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73E5" w14:textId="056D7B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EC8F" w14:textId="7796F5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1805" w14:textId="722F25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8,011,132.80 </w:t>
            </w:r>
          </w:p>
        </w:tc>
      </w:tr>
      <w:tr w:rsidR="00272BC6" w:rsidRPr="00272BC6" w14:paraId="005CC6A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656F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B5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D23E" w14:textId="1CDEE4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5FC1" w14:textId="47EA5D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1,549,444.00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30AE" w14:textId="4066E9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3436" w14:textId="24BA8D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F3E1" w14:textId="3C65F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2,752,823.32 </w:t>
            </w:r>
          </w:p>
        </w:tc>
      </w:tr>
      <w:tr w:rsidR="00272BC6" w:rsidRPr="00272BC6" w14:paraId="47D662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E76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01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4468" w14:textId="57CD37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0E87" w14:textId="1CF01B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30CD" w14:textId="2AEC81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078F" w14:textId="724E00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BFAF" w14:textId="1A6242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272BC6" w:rsidRPr="00272BC6" w14:paraId="0A8757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B5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45D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2484" w14:textId="205FE8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CCDE" w14:textId="5D0E44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1,367,840.00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5696" w14:textId="5F0F1A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8EBD" w14:textId="41D643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9EC2" w14:textId="0CA174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1,923,065.00 </w:t>
            </w:r>
          </w:p>
        </w:tc>
      </w:tr>
      <w:tr w:rsidR="00272BC6" w:rsidRPr="00272BC6" w14:paraId="4D78E96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275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39761" w14:textId="1FFC97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7,962,029.80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34E2F" w14:textId="0BD1D0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B5B22" w14:textId="290F4C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3FD11" w14:textId="2746D0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006D97" w14:textId="1C5DB7C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12,199,763.80 </w:t>
            </w:r>
          </w:p>
        </w:tc>
      </w:tr>
      <w:tr w:rsidR="00272BC6" w:rsidRPr="00272BC6" w14:paraId="6692E52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02E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23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FBB7" w14:textId="4BEB44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84E7" w14:textId="097DAD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8190" w14:textId="3EDB80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3DAB" w14:textId="3A7F4D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801F" w14:textId="778E97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272BC6" w:rsidRPr="00272BC6" w14:paraId="60368DB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EC6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EC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20F4" w14:textId="55E7AE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F340" w14:textId="2ACE0C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CA72" w14:textId="187530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5C59" w14:textId="78838F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6925" w14:textId="2B3EA5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272BC6" w:rsidRPr="00272BC6" w14:paraId="20BDC6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7F7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4E6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9855" w14:textId="43B60D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DE73" w14:textId="627C26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DF5B" w14:textId="53ED6D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9062" w14:textId="114C55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CFC7" w14:textId="67C633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272BC6" w:rsidRPr="00272BC6" w14:paraId="02CA8F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157B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58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C45B" w14:textId="031989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87B0" w14:textId="072693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405C" w14:textId="7D087B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BF97" w14:textId="62FFFF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1092" w14:textId="1C2E77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272BC6" w:rsidRPr="00272BC6" w14:paraId="7A8DAD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A32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2D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DDF9" w14:textId="37300B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874D" w14:textId="40C161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79E8" w14:textId="35C4F5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602C" w14:textId="1C7140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35E1" w14:textId="3DFB44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</w:tr>
      <w:tr w:rsidR="00272BC6" w:rsidRPr="00272BC6" w14:paraId="32EB05C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49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D1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3453" w14:textId="4814DA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2D64" w14:textId="67C701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3BFA" w14:textId="6F44D5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E055" w14:textId="54CB0D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CFC1" w14:textId="1F522D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272BC6" w:rsidRPr="00272BC6" w14:paraId="1B618C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904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E3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4B0A" w14:textId="4277D0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813,959.85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9614" w14:textId="0F5FF3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2FC5" w14:textId="104ED4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5C60" w14:textId="0D560E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B77A" w14:textId="59B63F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813,959.85 </w:t>
            </w:r>
          </w:p>
        </w:tc>
      </w:tr>
      <w:tr w:rsidR="00272BC6" w:rsidRPr="00272BC6" w14:paraId="2D74B7B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E9C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37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68CB" w14:textId="3E689B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06FE" w14:textId="528577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108B" w14:textId="50B032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8F45" w14:textId="4E2321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1DAF" w14:textId="45F6AD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272BC6" w:rsidRPr="00272BC6" w14:paraId="0BB194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7B1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2E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238D" w14:textId="41332F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C16C" w14:textId="72C640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26F9" w14:textId="3BF40E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F706" w14:textId="3D1FA2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6F7C" w14:textId="171330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272BC6" w:rsidRPr="00272BC6" w14:paraId="0DD4530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21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56F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6E12" w14:textId="65C20C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967,472.54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5354" w14:textId="6418E9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6620" w14:textId="7E5485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C4B3" w14:textId="5DECCC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D03B" w14:textId="7BBDA8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967,472.54 </w:t>
            </w:r>
          </w:p>
        </w:tc>
      </w:tr>
      <w:tr w:rsidR="00272BC6" w:rsidRPr="00272BC6" w14:paraId="70F19F8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22D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82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7207" w14:textId="01E75F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254C" w14:textId="473631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BBA3" w14:textId="30010E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CB1" w14:textId="7D2CDA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38EC" w14:textId="00E22E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4,826,343.45 </w:t>
            </w:r>
          </w:p>
        </w:tc>
      </w:tr>
      <w:tr w:rsidR="00272BC6" w:rsidRPr="00272BC6" w14:paraId="2B65C123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210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C0E915" w14:textId="542DCC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17,360,882.19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A7C88" w14:textId="429165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4851B2" w14:textId="161BA5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30B8D" w14:textId="7A0029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F2406" w14:textId="38DF04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243,667,490.19 </w:t>
            </w:r>
          </w:p>
        </w:tc>
      </w:tr>
      <w:tr w:rsidR="00272BC6" w:rsidRPr="00272BC6" w14:paraId="2FF0CB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F36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79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54AC" w14:textId="0CFE5C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48A9" w14:textId="4D21B2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771A" w14:textId="76CA1A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F617" w14:textId="6C873A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9B6F" w14:textId="3D9189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272BC6" w:rsidRPr="00272BC6" w14:paraId="1CBDF3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49B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E6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A3D3" w14:textId="6F824A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11,786,253.89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C0BB" w14:textId="5134BE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7FB4" w14:textId="32CF72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F7F3" w14:textId="5E8152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2422" w14:textId="3BBDA9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238,092,861.89 </w:t>
            </w:r>
          </w:p>
        </w:tc>
      </w:tr>
      <w:tr w:rsidR="00272BC6" w:rsidRPr="00272BC6" w14:paraId="038A2EF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D374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D5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90AE" w14:textId="3D0A32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1,397,998.81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1EEE" w14:textId="32D226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6163" w14:textId="56C5B0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CD08" w14:textId="551C3C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A358" w14:textId="54B54D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1,397,998.81 </w:t>
            </w:r>
          </w:p>
        </w:tc>
      </w:tr>
      <w:tr w:rsidR="00272BC6" w:rsidRPr="00272BC6" w14:paraId="4491DA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8F5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D06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A762" w14:textId="68252D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46DF" w14:textId="685B03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C4FB" w14:textId="6AC814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C793" w14:textId="191BAB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0595" w14:textId="79956F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272BC6" w:rsidRPr="00272BC6" w14:paraId="3C8C090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89F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F7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BD36" w14:textId="105F2E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931D" w14:textId="131117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98DA" w14:textId="30E708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BAA74" w14:textId="1F5E5E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F405" w14:textId="22E52F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272BC6" w:rsidRPr="00272BC6" w14:paraId="4EF004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442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9E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C18A" w14:textId="1961FA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A7D2" w14:textId="2B1C3B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CF136" w14:textId="428AEC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A138" w14:textId="30EDCA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E43D" w14:textId="20B899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272BC6" w:rsidRPr="00272BC6" w14:paraId="7680C16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C3C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94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C960" w14:textId="78D083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23E4" w14:textId="1F044C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CEA0" w14:textId="3DD88A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A012" w14:textId="5BDB60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CB79" w14:textId="38D236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272BC6" w:rsidRPr="00272BC6" w14:paraId="0DA0DD3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EA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39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932B" w14:textId="62854C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BF80" w14:textId="6E4185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5409" w14:textId="48F927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C27F" w14:textId="775FE1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6B30" w14:textId="7DEFAA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272BC6" w:rsidRPr="00272BC6" w14:paraId="017570C4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44D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FF0A6" w14:textId="26EE2C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8,884,927.25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FFC3C7" w14:textId="441343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34,369,600.00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6A155" w14:textId="623675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7ED0F" w14:textId="19E5D6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E0E3F" w14:textId="119221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43,254,527.25 </w:t>
            </w:r>
          </w:p>
        </w:tc>
      </w:tr>
      <w:tr w:rsidR="00272BC6" w:rsidRPr="00272BC6" w14:paraId="6E4FBC2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3B5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558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8620" w14:textId="57D7D9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61A9" w14:textId="793B4C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3,723,200.00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8570" w14:textId="1B4863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C2AC" w14:textId="3BF44B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2809" w14:textId="45ABD1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4,869,898.41 </w:t>
            </w:r>
          </w:p>
        </w:tc>
      </w:tr>
      <w:tr w:rsidR="00272BC6" w:rsidRPr="00272BC6" w14:paraId="6A6DA1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231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EC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25FB" w14:textId="467508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1BE0" w14:textId="6C4817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266F" w14:textId="5F9EF7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43CB" w14:textId="552912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A9ED" w14:textId="51107B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</w:tr>
      <w:tr w:rsidR="00272BC6" w:rsidRPr="00272BC6" w14:paraId="6354069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DD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3E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3ED7" w14:textId="0D3543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9938" w14:textId="1FE405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CE63" w14:textId="4C66EE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8C05" w14:textId="13AA2C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96C7" w14:textId="69460D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</w:tr>
      <w:tr w:rsidR="00272BC6" w:rsidRPr="00272BC6" w14:paraId="115677A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A95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AB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1E27" w14:textId="5833B3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9D8D" w14:textId="3D6EF1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0CD4" w14:textId="12939E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FC5A" w14:textId="780FB5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F2A6" w14:textId="2092BC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</w:tr>
      <w:tr w:rsidR="00272BC6" w:rsidRPr="00272BC6" w14:paraId="657E3C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7D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17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17C11" w14:textId="38DC0F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68DF" w14:textId="483B83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24E6" w14:textId="5E737B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8F5B" w14:textId="7DB7E1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5D04" w14:textId="34DC93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</w:tr>
      <w:tr w:rsidR="00272BC6" w:rsidRPr="00272BC6" w14:paraId="7AEB402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FFA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27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327C" w14:textId="519B37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9883" w14:textId="013F9C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AEC9" w14:textId="423C69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1CA7" w14:textId="18338D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FF05" w14:textId="71506B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</w:tr>
      <w:tr w:rsidR="00272BC6" w:rsidRPr="00272BC6" w14:paraId="0B4754D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9E4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A5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4447" w14:textId="06F954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6016" w14:textId="09B96C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156B" w14:textId="1F1234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733A" w14:textId="7C68CD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4B3E" w14:textId="6DC390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</w:tr>
      <w:tr w:rsidR="00272BC6" w:rsidRPr="00272BC6" w14:paraId="19B5952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E11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FB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0D15" w14:textId="148A0A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A30A" w14:textId="077544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8A42" w14:textId="054A8B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AE5D" w14:textId="78E0E7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FBF5" w14:textId="5E61B3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</w:tr>
      <w:tr w:rsidR="00272BC6" w:rsidRPr="00272BC6" w14:paraId="5BE33E0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71C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ED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07A7" w14:textId="2DA5DB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7852" w14:textId="03F042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B5CA" w14:textId="31B2CA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AB3F" w14:textId="36FE25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77CF" w14:textId="045443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15,242,703.84 </w:t>
            </w:r>
          </w:p>
        </w:tc>
      </w:tr>
      <w:tr w:rsidR="00272BC6" w:rsidRPr="00272BC6" w14:paraId="128F209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E85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CC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5904" w14:textId="1EC7FC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B82F" w14:textId="55AD41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B2B9" w14:textId="0FD2A9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4045" w14:textId="48CCA7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6178" w14:textId="09715E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</w:tr>
      <w:tr w:rsidR="00272BC6" w:rsidRPr="00272BC6" w14:paraId="27BFAC0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245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26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8617" w14:textId="2A8281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1,295,525.00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0510" w14:textId="5C3653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EF15" w14:textId="435047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E248" w14:textId="3649AD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9BFA" w14:textId="535B9F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3,242,725.00 </w:t>
            </w:r>
          </w:p>
        </w:tc>
      </w:tr>
      <w:tr w:rsidR="00272BC6" w:rsidRPr="00272BC6" w14:paraId="6F566419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732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1ED87" w14:textId="1B69BD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3,504,703.54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221381" w14:textId="357FAF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3364D" w14:textId="53B06D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56D3F4" w14:textId="7FB295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E2962" w14:textId="3FC388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3,504,703.54 </w:t>
            </w:r>
          </w:p>
        </w:tc>
      </w:tr>
      <w:tr w:rsidR="00272BC6" w:rsidRPr="00272BC6" w14:paraId="52CAB16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B08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9B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6FD4" w14:textId="0768DF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2,447,188.38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D707" w14:textId="2600A5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1E88" w14:textId="28A6D0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0BF7" w14:textId="4FC839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E44B" w14:textId="64469C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2,447,188.38 </w:t>
            </w:r>
          </w:p>
        </w:tc>
      </w:tr>
      <w:tr w:rsidR="00272BC6" w:rsidRPr="00272BC6" w14:paraId="6D206C5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420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F6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3F32" w14:textId="239BA4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47F8" w14:textId="5A2161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B0AA" w14:textId="0C99C0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2CBF" w14:textId="4460FE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5DB2" w14:textId="1FEE28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272BC6" w:rsidRPr="00272BC6" w14:paraId="5A98D44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E987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097625" w14:textId="5DC612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34,396,413.00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060F0E" w14:textId="6C8DB5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7C6CF7" w14:textId="7C036C7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6D3A9D" w14:textId="2D0CD8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6E6EAD" w14:textId="1C96A6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34,396,413.00 </w:t>
            </w:r>
          </w:p>
        </w:tc>
      </w:tr>
      <w:tr w:rsidR="00272BC6" w:rsidRPr="00272BC6" w14:paraId="4EFBBE9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4F4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2EE9F" w14:textId="051C3B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9,557,900.00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91AE9" w14:textId="3C7DF9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A2B9F" w14:textId="0E3B21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83778" w14:textId="1E4AFB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04E616" w14:textId="09B2BA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9,557,900.00 </w:t>
            </w:r>
          </w:p>
        </w:tc>
      </w:tr>
      <w:tr w:rsidR="00272BC6" w:rsidRPr="00272BC6" w14:paraId="5AEDAC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CB1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90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43F6" w14:textId="1783C7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F7B9" w14:textId="3A4188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7FB9" w14:textId="617699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9BE70" w14:textId="36515A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AD8C" w14:textId="13D331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272BC6" w:rsidRPr="00272BC6" w14:paraId="68B98D6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E408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FB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93B7" w14:textId="517248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8096" w14:textId="1E0773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E1AB" w14:textId="39F815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3B87" w14:textId="2D2229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A527" w14:textId="2AFDC93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4A13268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37A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E2E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C03F" w14:textId="28D469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E70F" w14:textId="69D859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10CC" w14:textId="6BB351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671C" w14:textId="451E88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6089" w14:textId="11272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1BBE9A8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B1E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E9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4A74" w14:textId="0BDB3A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EEDA" w14:textId="7E8723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E934" w14:textId="532409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38B8" w14:textId="57ECDB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D9F6" w14:textId="7C5D38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272BC6" w:rsidRPr="00272BC6" w14:paraId="6C30870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AA6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C49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375D" w14:textId="2B28C6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C871" w14:textId="05FD32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9934" w14:textId="5AD021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2700" w14:textId="2A0B30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ECF1" w14:textId="6F92EA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29220E5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21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5B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2441" w14:textId="1A1A4D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C8AD" w14:textId="36BB35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6060" w14:textId="10E031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2050" w14:textId="567EF8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63F1" w14:textId="53C809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392C4B0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BCC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A2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E3D3" w14:textId="149A94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DDBC" w14:textId="18685B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537B" w14:textId="428FEE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7BE2" w14:textId="5B6AF2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8404" w14:textId="4B5174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4D8C6DE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7CA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235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A2CA" w14:textId="34E209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610D3" w14:textId="5D533B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48CC" w14:textId="1A4BFC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5AED" w14:textId="7DD1ED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255F" w14:textId="01405F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</w:tr>
      <w:tr w:rsidR="00272BC6" w:rsidRPr="00272BC6" w14:paraId="5E88A0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0055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A1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AB6C" w14:textId="19120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FBB8" w14:textId="0F86B5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7F23" w14:textId="4FBB18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2B84" w14:textId="18B83A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63EE" w14:textId="0BC867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0975319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C4A0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E6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DB60" w14:textId="7687CA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E842" w14:textId="009FEB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2BE1" w14:textId="68420A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32F9" w14:textId="4D762A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6B4C" w14:textId="2F6150D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272BC6" w:rsidRPr="00272BC6" w14:paraId="2701B70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BD4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6F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FB19" w14:textId="1B891A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EB83" w14:textId="15903D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DD20" w14:textId="5AF0CD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FAFA" w14:textId="7119855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274D" w14:textId="0CC90F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272BC6" w:rsidRPr="00272BC6" w14:paraId="37B31EA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82DC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5D7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C28D" w14:textId="314152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5BA9" w14:textId="474E0C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4453" w14:textId="52FB04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0D80" w14:textId="7936E6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D02D" w14:textId="7748E5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667B684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C7B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02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BAF0" w14:textId="10B4BC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55C5" w14:textId="2E585C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0C1A" w14:textId="64EA2C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41BA" w14:textId="5EAD3A8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45ED" w14:textId="0A2B6A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1EB08F4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BEA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07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043E" w14:textId="44979E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90CB" w14:textId="1C5242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A686" w14:textId="033C3D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1004" w14:textId="5E1A15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18CF" w14:textId="5E7440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55AD19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439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81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69C9" w14:textId="270506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055B" w14:textId="68AA60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5CE2" w14:textId="7D5B8B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285D" w14:textId="71ADDC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3E99" w14:textId="0A35A2F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443D1EB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DB3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40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A2BF" w14:textId="6C79B8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63A2" w14:textId="2270C8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2D6B" w14:textId="17D0AD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4D8A" w14:textId="458443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A815" w14:textId="58662A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46F721F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F702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3C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3FE1" w14:textId="761817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5C00" w14:textId="50C2E2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4DDC" w14:textId="68367D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ACF0" w14:textId="51E58D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5FFC" w14:textId="1299C2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51D384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A4E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C14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C9CA" w14:textId="2FA16A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3F46" w14:textId="59741A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21B2" w14:textId="0DD151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6528" w14:textId="444A75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91EA" w14:textId="0CA4AA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272BC6" w:rsidRPr="00272BC6" w14:paraId="18CBA62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CB3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BBD992" w14:textId="70F95B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4,302,100.00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69653" w14:textId="2FDE9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1B14A" w14:textId="2D9293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CB3422" w14:textId="1EB2A3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BC46E" w14:textId="02F3FB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4,302,100.00 </w:t>
            </w:r>
          </w:p>
        </w:tc>
      </w:tr>
      <w:tr w:rsidR="00272BC6" w:rsidRPr="00272BC6" w14:paraId="76C1B5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0DE4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72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813F" w14:textId="6798E0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4B8A" w14:textId="17ECB8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DE6C" w14:textId="0963FE6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C7A7" w14:textId="41B9D0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1328" w14:textId="62E219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272BC6" w:rsidRPr="00272BC6" w14:paraId="1F6BBB7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D417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D3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B6E9" w14:textId="6E3DC9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CF4D" w14:textId="4A8067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A1D4" w14:textId="7C7C9C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083A" w14:textId="211C77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541D" w14:textId="58848B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272BC6" w:rsidRPr="00272BC6" w14:paraId="0598C76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3C9C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BE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1944" w14:textId="2C83AD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1F2B" w14:textId="59E553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89D1" w14:textId="50270A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DE8E" w14:textId="1B47AC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E04E" w14:textId="47B846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272BC6" w:rsidRPr="00272BC6" w14:paraId="2D1080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6CE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B5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9866" w14:textId="128A10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3D39" w14:textId="215E61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8814" w14:textId="0BE4B6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2EF8" w14:textId="0C96C9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D9C7" w14:textId="34553F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272BC6" w:rsidRPr="00272BC6" w14:paraId="415296B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C80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BB7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CFB8" w14:textId="7A7EB5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8E73" w14:textId="716608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ABFE" w14:textId="43C3C2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FD6C" w14:textId="586AFA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0361" w14:textId="024B908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685,300.00 </w:t>
            </w:r>
          </w:p>
        </w:tc>
      </w:tr>
      <w:tr w:rsidR="00272BC6" w:rsidRPr="00272BC6" w14:paraId="518031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C31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2C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EB74" w14:textId="762F86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63FC" w14:textId="12628E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7FC7" w14:textId="71D97E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EF34" w14:textId="445C3D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65BF" w14:textId="710101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272BC6" w:rsidRPr="00272BC6" w14:paraId="735D20E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57F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79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62CE" w14:textId="742B38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6795" w14:textId="7D3EED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8470" w14:textId="6A3A21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9734" w14:textId="4029E7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698E" w14:textId="647373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272BC6" w:rsidRPr="00272BC6" w14:paraId="278B6FC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376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51650" w14:textId="0C6DD2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11,829,713.00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5AE04" w14:textId="6ECE84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196B7" w14:textId="48AEBF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F93FF" w14:textId="660DEA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D42E0" w14:textId="3645FC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11,829,713.00 </w:t>
            </w:r>
          </w:p>
        </w:tc>
      </w:tr>
      <w:tr w:rsidR="00272BC6" w:rsidRPr="00272BC6" w14:paraId="2E6B255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0E6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F2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5A43" w14:textId="26CBC1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B0A2" w14:textId="464111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E6BA" w14:textId="73791C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7064" w14:textId="38B9EA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B239" w14:textId="0B6C81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272BC6" w:rsidRPr="00272BC6" w14:paraId="64A1ED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3BB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13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21F9" w14:textId="536156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432C" w14:textId="684F64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B02C" w14:textId="3A2A91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62DF" w14:textId="5A0236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EB84" w14:textId="318F09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272BC6" w:rsidRPr="00272BC6" w14:paraId="2461715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E5F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D82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2209" w14:textId="64E892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8804" w14:textId="034506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C5A3" w14:textId="1BE3B9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E34B" w14:textId="3EF620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8F70" w14:textId="0299EB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</w:tr>
      <w:tr w:rsidR="00272BC6" w:rsidRPr="00272BC6" w14:paraId="033D25F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5CC2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D5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4D4E" w14:textId="0A2EB5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5BB0" w14:textId="3C4C7A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4B2E" w14:textId="2EDA3D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C7D4" w14:textId="73F7E3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D89F" w14:textId="498E4B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272BC6" w:rsidRPr="00272BC6" w14:paraId="05C8CDA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6B5F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D6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EF9F" w14:textId="5B5A47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A490" w14:textId="06F3D7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279E" w14:textId="29E4B4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A340" w14:textId="65AEA8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B9B2" w14:textId="419F60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272BC6" w:rsidRPr="00272BC6" w14:paraId="497413D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B63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1B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7E30" w14:textId="22E469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150" w14:textId="478B5C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86DD" w14:textId="32809D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AD17" w14:textId="6A522B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3F46" w14:textId="688814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272BC6" w:rsidRPr="00272BC6" w14:paraId="6A688D6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99D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0C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8EEE" w14:textId="10C9C9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0FBB" w14:textId="768E4D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7FE1" w14:textId="464DDC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B9D2" w14:textId="1B5778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9A63" w14:textId="6B6564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272BC6" w:rsidRPr="00272BC6" w14:paraId="4ED501C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650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2B5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1D79" w14:textId="57A4B0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7582" w14:textId="0F59C5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F22B" w14:textId="5C3EBA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0B81" w14:textId="047F69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09F7" w14:textId="40418A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272BC6" w:rsidRPr="00272BC6" w14:paraId="633A601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1055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666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37F1" w14:textId="531C6A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C6B4" w14:textId="5CC893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E367" w14:textId="60873B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8B35" w14:textId="7A09F4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5137" w14:textId="588287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272BC6" w:rsidRPr="00272BC6" w14:paraId="3267F3C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5BD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31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6058" w14:textId="184F4E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1,727,913.00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0156" w14:textId="290F04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1357" w14:textId="22BCEC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B4F1" w14:textId="1F4B9D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4E33" w14:textId="1456F3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1,727,913.00 </w:t>
            </w:r>
          </w:p>
        </w:tc>
      </w:tr>
      <w:tr w:rsidR="00272BC6" w:rsidRPr="00272BC6" w14:paraId="418A0A9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55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00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1665" w14:textId="7CF3C1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010C" w14:textId="39C0DE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19D3" w14:textId="6A6F27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A638" w14:textId="1B4980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81D8" w14:textId="14000B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272BC6" w:rsidRPr="00272BC6" w14:paraId="056F760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53BD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748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9125" w14:textId="27E67D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2F6E" w14:textId="092727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5386" w14:textId="3272E2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F6E0" w14:textId="62A9AF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B5E2" w14:textId="042212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272BC6" w:rsidRPr="00272BC6" w14:paraId="57F69878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F6C4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B94D5D" w14:textId="43C72D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7,681,200.00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9A867" w14:textId="76279C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E3310" w14:textId="209818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9B6C5" w14:textId="3B8F971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578C2" w14:textId="08E2D8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7,681,200.00 </w:t>
            </w:r>
          </w:p>
        </w:tc>
      </w:tr>
      <w:tr w:rsidR="00272BC6" w:rsidRPr="00272BC6" w14:paraId="287ECAF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4265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82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5FB9" w14:textId="55422D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3A16" w14:textId="6A904F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3DD3" w14:textId="46477D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ADB5" w14:textId="59C4CF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BB5E" w14:textId="120DD3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320BCD8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E4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F9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9866" w14:textId="7E32D2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86BA" w14:textId="3A7D73E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6935" w14:textId="684AC1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F5B6" w14:textId="4AC0D3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30B2" w14:textId="7E8153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42E7A02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82B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12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7535" w14:textId="05ED88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462C" w14:textId="000D9C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F09C" w14:textId="4D0E6F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565B" w14:textId="41CAEE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B80D" w14:textId="37506F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7D39CC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761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AA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7673" w14:textId="31CF7A3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F57D" w14:textId="7EFBD2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A2D7" w14:textId="42B00B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D132" w14:textId="6286E1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42C1" w14:textId="38E8FB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2302680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70EF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F6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AE51" w14:textId="241D15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25A0" w14:textId="279A1C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60EA" w14:textId="000B45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B92A" w14:textId="577DC5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5707" w14:textId="520B5A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5815DAC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EC9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C4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E646" w14:textId="30A712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FF6B" w14:textId="59E5BC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D8C9A" w14:textId="0843CD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DCE4" w14:textId="5698AE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F4B7" w14:textId="1C2723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917,300.00 </w:t>
            </w:r>
          </w:p>
        </w:tc>
      </w:tr>
      <w:tr w:rsidR="00272BC6" w:rsidRPr="00272BC6" w14:paraId="0CD9A96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8183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71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053A" w14:textId="79EFAB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7457" w14:textId="1A2100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E13C" w14:textId="781389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740C" w14:textId="53C9CD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9B24" w14:textId="0A284E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4B7BBD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532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474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939B" w14:textId="7DDD38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78F9" w14:textId="3CB634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D639" w14:textId="5DDB5A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4CE2" w14:textId="48E50E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3D76" w14:textId="2AFFD9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44C5349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F4A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2A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6AC0" w14:textId="32991B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3F2F" w14:textId="28C87B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DC73" w14:textId="21FCEB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CA52" w14:textId="713F0B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7B83" w14:textId="5F3B52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69FC2BE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07E0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54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9B54" w14:textId="5796CC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9EAF" w14:textId="2710C4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901F" w14:textId="183EDB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A225" w14:textId="690549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37B7" w14:textId="47915E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69144D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C9D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138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F835" w14:textId="775B7D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0543" w14:textId="642179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A67F" w14:textId="0BE622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10BC" w14:textId="1ECE99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B16C" w14:textId="36097A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55C84AE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D6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3E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FB77" w14:textId="57F1B2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D740" w14:textId="2070CB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95FC" w14:textId="086BDD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8EF4" w14:textId="0B18C2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1F80" w14:textId="40331B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272BC6" w:rsidRPr="00272BC6" w14:paraId="510B6E42" w14:textId="77777777" w:rsidTr="00272BC6">
        <w:trPr>
          <w:trHeight w:val="20"/>
        </w:trPr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FEDDB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2F973D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6DDCB29" w14:textId="1758CD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5C7A561" w14:textId="28BD3D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72070FF" w14:textId="6B414B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29BE304" w14:textId="1BE3E9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160FE60" w14:textId="2A2F0AF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272BC6" w:rsidRPr="00272BC6" w14:paraId="2F4D47B0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1BB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D15D67" w14:textId="41FDE5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32,685,108.42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F939D2" w14:textId="5D01A4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575,189,367.14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BFB71" w14:textId="5363B7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59E2D5" w14:textId="6C5CBC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5FFBD7" w14:textId="3E2FA7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610,840,075.56 </w:t>
            </w:r>
          </w:p>
        </w:tc>
      </w:tr>
      <w:tr w:rsidR="00272BC6" w:rsidRPr="00272BC6" w14:paraId="37725A8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409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E6F0A" w14:textId="59E832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10,621,497.01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B6C294" w14:textId="5EDC32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188,610,368.76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5369A0" w14:textId="28B086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8125D" w14:textId="0032C5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561B6" w14:textId="703B72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199,231,865.77 </w:t>
            </w:r>
          </w:p>
        </w:tc>
      </w:tr>
      <w:tr w:rsidR="00272BC6" w:rsidRPr="00272BC6" w14:paraId="3F42892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8F8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2D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6DE5" w14:textId="200E66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D9E9" w14:textId="4D237D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92E5" w14:textId="34474F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071A" w14:textId="16CD63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34DA" w14:textId="77D9385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21,013,851.63 </w:t>
            </w:r>
          </w:p>
        </w:tc>
      </w:tr>
      <w:tr w:rsidR="00272BC6" w:rsidRPr="00272BC6" w14:paraId="45A1A8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5787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1D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B7E9" w14:textId="63F40A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5717" w14:textId="043DD9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C122" w14:textId="1D27D9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FC88" w14:textId="1D6904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DCAD" w14:textId="4F6EF1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</w:tr>
      <w:tr w:rsidR="00272BC6" w:rsidRPr="00272BC6" w14:paraId="44544D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CCD1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F1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EDAA" w14:textId="76E7D7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3,271,464.50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6DA6" w14:textId="2E4170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3972" w14:textId="5A248D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9078" w14:textId="31CCA4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456D" w14:textId="4213DB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93,871,464.50 </w:t>
            </w:r>
          </w:p>
        </w:tc>
      </w:tr>
      <w:tr w:rsidR="00272BC6" w:rsidRPr="00272BC6" w14:paraId="7824689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E43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28F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CC54" w14:textId="0F9A56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7893" w14:textId="00D141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572E0" w14:textId="545B2E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BC30" w14:textId="5838F5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5BD8" w14:textId="151436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</w:tr>
      <w:tr w:rsidR="00272BC6" w:rsidRPr="00272BC6" w14:paraId="0901EF2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CBA0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64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BBEF" w14:textId="7644C6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9146" w14:textId="0C9A52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8,468,720.00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EEEA" w14:textId="10FB62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619A" w14:textId="563AF4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F536" w14:textId="3BE164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9,781,214.00 </w:t>
            </w:r>
          </w:p>
        </w:tc>
      </w:tr>
      <w:tr w:rsidR="00272BC6" w:rsidRPr="00272BC6" w14:paraId="028C78E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0C9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18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96F7" w14:textId="7D1E25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4EFC" w14:textId="03D55B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12,110,801.00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D770" w14:textId="750E5F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BEE0" w14:textId="6B282C0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7363" w14:textId="51C4F7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13,136,741.00 </w:t>
            </w:r>
          </w:p>
        </w:tc>
      </w:tr>
      <w:tr w:rsidR="00272BC6" w:rsidRPr="00272BC6" w14:paraId="4908AA9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70AE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7F8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5A4F" w14:textId="63FE15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3583" w14:textId="1FE36E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208,170.48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8788" w14:textId="5D29CA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34F0" w14:textId="6381D8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AE6E" w14:textId="4A3F46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1,307,070.48 </w:t>
            </w:r>
          </w:p>
        </w:tc>
      </w:tr>
      <w:tr w:rsidR="00272BC6" w:rsidRPr="00272BC6" w14:paraId="389761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5742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6AA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B5DF" w14:textId="0B3B6B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10DD" w14:textId="6F9089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DB01" w14:textId="6CD564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A4C7" w14:textId="5BB61B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6A65" w14:textId="5AD87C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</w:tr>
      <w:tr w:rsidR="00272BC6" w:rsidRPr="00272BC6" w14:paraId="5BA90B2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2BC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28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24C5" w14:textId="7A25AE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1,149,946.88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8B14" w14:textId="6C4FDC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312,011.00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8596" w14:textId="2D5B1A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721" w14:textId="662E38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7C72" w14:textId="2856C1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1,461,957.88 </w:t>
            </w:r>
          </w:p>
        </w:tc>
      </w:tr>
      <w:tr w:rsidR="00272BC6" w:rsidRPr="00272BC6" w14:paraId="13B10CA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D22D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80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56EF" w14:textId="6B15E5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CFDD" w14:textId="5A6BE6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41E3C" w14:textId="3410D2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E98C" w14:textId="0D2DCB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45C2D" w14:textId="2B34E1A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</w:tr>
      <w:tr w:rsidR="00272BC6" w:rsidRPr="00272BC6" w14:paraId="1FDEBFA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488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04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73774" w14:textId="269CFB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1A94" w14:textId="1D52AA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3,518,690.00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9DDF" w14:textId="0DDAD1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4277" w14:textId="049900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8987" w14:textId="294952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4,617,590.00 </w:t>
            </w:r>
          </w:p>
        </w:tc>
      </w:tr>
      <w:tr w:rsidR="00272BC6" w:rsidRPr="00272BC6" w14:paraId="12A89C4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B72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02CA98" w14:textId="67ED44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2DE58" w14:textId="4AE67B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120,633,236.07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B8A77D" w14:textId="166D7D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E5839" w14:textId="2A45E8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7F89" w14:textId="2D6C7D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122,182,625.32 </w:t>
            </w:r>
          </w:p>
        </w:tc>
      </w:tr>
      <w:tr w:rsidR="00272BC6" w:rsidRPr="00272BC6" w14:paraId="6DF0605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07D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8CD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B2BA" w14:textId="5049E5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2EA9" w14:textId="588433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EB5E" w14:textId="55DCF5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2867" w14:textId="2B10E3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B42F" w14:textId="64662A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272BC6" w:rsidRPr="00272BC6" w14:paraId="1D0E09E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C52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41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745A" w14:textId="12D762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748A" w14:textId="42F529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B5C9" w14:textId="5C9E2C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D02F" w14:textId="001FF9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9821" w14:textId="788E33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</w:tr>
      <w:tr w:rsidR="00272BC6" w:rsidRPr="00272BC6" w14:paraId="3D2EC26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E83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937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4F29" w14:textId="5F1A60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DFAA" w14:textId="4ADDB3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5BB1" w14:textId="07245E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7476" w14:textId="4EC16D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A092" w14:textId="5E5D72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</w:tr>
      <w:tr w:rsidR="00272BC6" w:rsidRPr="00272BC6" w14:paraId="29BFBC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3C5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424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D7B0" w14:textId="7291EB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6DBA" w14:textId="12621DA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23,402,400.00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5CE6" w14:textId="7EE710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C5B7" w14:textId="601149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AF01" w14:textId="6AEB81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23,402,400.00 </w:t>
            </w:r>
          </w:p>
        </w:tc>
      </w:tr>
      <w:tr w:rsidR="00272BC6" w:rsidRPr="00272BC6" w14:paraId="796F7C5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DB4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4B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E073" w14:textId="2C6454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66B5" w14:textId="0788EA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F9CF" w14:textId="1C83FF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3BAF" w14:textId="71BE17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9F56" w14:textId="7C24C6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</w:tr>
      <w:tr w:rsidR="00272BC6" w:rsidRPr="00272BC6" w14:paraId="3EA8B65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1BDC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EF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79DF" w14:textId="780ADD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428B" w14:textId="01B14B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A2DD" w14:textId="5695CD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E65B" w14:textId="5733F8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0473" w14:textId="46BDF5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</w:tr>
      <w:tr w:rsidR="00272BC6" w:rsidRPr="00272BC6" w14:paraId="54B8861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856D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30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64BD" w14:textId="7887EC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79FB" w14:textId="6CBAC7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25,598,719.07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6B6D" w14:textId="50166C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F4E3" w14:textId="1C7F6C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7C76" w14:textId="375DA9A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25,598,719.07 </w:t>
            </w:r>
          </w:p>
        </w:tc>
      </w:tr>
      <w:tr w:rsidR="00272BC6" w:rsidRPr="00272BC6" w14:paraId="6D8A631E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D2E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3474F" w14:textId="0171A5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37399" w14:textId="0233080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767C83" w14:textId="638924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395D1" w14:textId="03C62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73FE1" w14:textId="362632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272BC6" w:rsidRPr="00272BC6" w14:paraId="2EDCD1A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9619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F8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0332" w14:textId="224242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4C4F" w14:textId="68F1EC8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66EA" w14:textId="77CD8D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EE48" w14:textId="4A8978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20BE" w14:textId="4B1601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272BC6" w:rsidRPr="00272BC6" w14:paraId="53AE5FC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473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A627D4" w14:textId="72E3A9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D818" w14:textId="187940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94,669,278.49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8CFBC" w14:textId="04B9AE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62FEB" w14:textId="2C4D32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E9354A" w14:textId="06ED21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111,763,806.24 </w:t>
            </w:r>
          </w:p>
        </w:tc>
      </w:tr>
      <w:tr w:rsidR="00272BC6" w:rsidRPr="00272BC6" w14:paraId="5628A04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E287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4E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3CB1" w14:textId="2017B4E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5A12" w14:textId="2A5BC5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437A" w14:textId="6580AD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581D" w14:textId="763805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449A" w14:textId="03C39E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272BC6" w:rsidRPr="00272BC6" w14:paraId="63C0422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9F04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B2E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288C" w14:textId="04551A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4F5D" w14:textId="33F582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67B8" w14:textId="2192CD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DBE1" w14:textId="01A5C5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1F01" w14:textId="58983A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</w:tr>
      <w:tr w:rsidR="00272BC6" w:rsidRPr="00272BC6" w14:paraId="36A856F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6B55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EA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C8C7" w14:textId="32BC8F7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50FC" w14:textId="1E102D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1,952,842.60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B374" w14:textId="19A531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5629" w14:textId="4CF026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47C0" w14:textId="637E32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3,394,042.60 </w:t>
            </w:r>
          </w:p>
        </w:tc>
      </w:tr>
      <w:tr w:rsidR="00272BC6" w:rsidRPr="00272BC6" w14:paraId="1A6F15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CD66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591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3381" w14:textId="5129DB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8A2C" w14:textId="6D078A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2,623,791.00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7733" w14:textId="3CBD14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C8BB" w14:textId="016AED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6DC5" w14:textId="1EB2CC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3,146,226.00 </w:t>
            </w:r>
          </w:p>
        </w:tc>
      </w:tr>
      <w:tr w:rsidR="00272BC6" w:rsidRPr="00272BC6" w14:paraId="49B71E3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7CD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BBF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4E33" w14:textId="1EBB0F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AEFA" w14:textId="4B6329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16,245,000.00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8C5A" w14:textId="5133AC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4950" w14:textId="6102A9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5C20" w14:textId="769A8E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17,618,940.00 </w:t>
            </w:r>
          </w:p>
        </w:tc>
      </w:tr>
      <w:tr w:rsidR="00272BC6" w:rsidRPr="00272BC6" w14:paraId="68CD2AB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7DE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6F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CD64" w14:textId="7DCC3F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76BA" w14:textId="3B679C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B216" w14:textId="17621E3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BADB" w14:textId="548358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1442" w14:textId="0C4A1A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272BC6" w:rsidRPr="00272BC6" w14:paraId="025C0B6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CFA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FF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0548" w14:textId="6826FA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8901" w14:textId="3CE6E1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A9C8" w14:textId="6637F2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1CE5" w14:textId="75E94C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62B9" w14:textId="1289E3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4,298,900.00 </w:t>
            </w:r>
          </w:p>
        </w:tc>
      </w:tr>
      <w:tr w:rsidR="00272BC6" w:rsidRPr="00272BC6" w14:paraId="64E46A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51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0E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E8CB" w14:textId="2CDDEF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A51D" w14:textId="520126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893,642.09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1C8F" w14:textId="4FDB11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5750" w14:textId="1DF7C8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8F33" w14:textId="248D33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1,919,582.09 </w:t>
            </w:r>
          </w:p>
        </w:tc>
      </w:tr>
      <w:tr w:rsidR="00272BC6" w:rsidRPr="00272BC6" w14:paraId="197B685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4417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6C6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2E90" w14:textId="432916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3C48" w14:textId="3FE690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5433" w14:textId="2C46EE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EB4A" w14:textId="26CBF7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49A8" w14:textId="664890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</w:tr>
      <w:tr w:rsidR="00272BC6" w:rsidRPr="00272BC6" w14:paraId="3B93B7B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38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F1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AED7" w14:textId="1D5A26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73DB" w14:textId="61E436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1,374,424.00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54E0" w14:textId="702C2F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F7AF" w14:textId="286B47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B40A" w14:textId="457405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2,815,624.00 </w:t>
            </w:r>
          </w:p>
        </w:tc>
      </w:tr>
      <w:tr w:rsidR="00272BC6" w:rsidRPr="00272BC6" w14:paraId="2E3950F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B46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CC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575A" w14:textId="5110E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E611" w14:textId="3610B1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9,073,000.00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1A3B" w14:textId="559969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0D3E" w14:textId="0FCB42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EC1F" w14:textId="442F9C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10,013,022.70 </w:t>
            </w:r>
          </w:p>
        </w:tc>
      </w:tr>
      <w:tr w:rsidR="00272BC6" w:rsidRPr="00272BC6" w14:paraId="45E6FCB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80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EE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2E51" w14:textId="5F161E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ACAC" w14:textId="1E2D36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4,650,150.00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14C2" w14:textId="6F7AE3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1AE2" w14:textId="30A3C0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4A16" w14:textId="55CCBD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5,291,175.00 </w:t>
            </w:r>
          </w:p>
        </w:tc>
      </w:tr>
      <w:tr w:rsidR="00272BC6" w:rsidRPr="00272BC6" w14:paraId="414A8F4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ADB3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BC4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6CC0" w14:textId="028813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E3FB" w14:textId="4E0829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F30B" w14:textId="7B89064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C52F" w14:textId="333223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9443" w14:textId="72B551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</w:tr>
      <w:tr w:rsidR="00272BC6" w:rsidRPr="00272BC6" w14:paraId="70B5A4A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69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3B4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712D" w14:textId="3E515C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CFBF" w14:textId="272F279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5,101,207.84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AABA" w14:textId="4731CF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8155" w14:textId="788B9F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5299" w14:textId="372BC8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5,742,232.84 </w:t>
            </w:r>
          </w:p>
        </w:tc>
      </w:tr>
      <w:tr w:rsidR="00272BC6" w:rsidRPr="00272BC6" w14:paraId="15D1D70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B6C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C4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D6B2" w14:textId="0288A9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1B98" w14:textId="5F7F1D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4,359,936.00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6127" w14:textId="391EDB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BADB" w14:textId="2A8E21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4B69" w14:textId="1CB963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5,385,876.00 </w:t>
            </w:r>
          </w:p>
        </w:tc>
      </w:tr>
      <w:tr w:rsidR="00272BC6" w:rsidRPr="00272BC6" w14:paraId="541E937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235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FDC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B9FF" w14:textId="07FA41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4B65" w14:textId="283C973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8,499,748.70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40C7" w14:textId="017C4E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D907" w14:textId="29567D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A701" w14:textId="730694F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9,305,975.00 </w:t>
            </w:r>
          </w:p>
        </w:tc>
      </w:tr>
      <w:tr w:rsidR="00272BC6" w:rsidRPr="00272BC6" w14:paraId="5BD3C23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B848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3D5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E356" w14:textId="393C27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502E" w14:textId="090B88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4,680,581.12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CACE" w14:textId="331A15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0F5C" w14:textId="36CDD0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240C" w14:textId="31CD31F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5,761,481.12 </w:t>
            </w:r>
          </w:p>
        </w:tc>
      </w:tr>
      <w:tr w:rsidR="00272BC6" w:rsidRPr="00272BC6" w14:paraId="6ADCF2F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9A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A8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3C4B" w14:textId="733CD0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DBD1" w14:textId="0758E8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12,250,195.14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C136" w14:textId="7D73CF0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F7C0" w14:textId="08D60C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775C" w14:textId="32004C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13,276,135.14 </w:t>
            </w:r>
          </w:p>
        </w:tc>
      </w:tr>
      <w:tr w:rsidR="00272BC6" w:rsidRPr="00272BC6" w14:paraId="1B17551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0DE5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B0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229D" w14:textId="162FDE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BE05" w14:textId="473457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AF9E" w14:textId="2956BC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0628" w14:textId="69D063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0A7E" w14:textId="5BC8E4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</w:tr>
      <w:tr w:rsidR="00272BC6" w:rsidRPr="00272BC6" w14:paraId="63EFC73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770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CE9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008E" w14:textId="24EDAC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FECE" w14:textId="51B168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2004" w14:textId="697FDE7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2AF8" w14:textId="6D084D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4D0D" w14:textId="69D84F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2,949,600.00 </w:t>
            </w:r>
          </w:p>
        </w:tc>
      </w:tr>
      <w:tr w:rsidR="00272BC6" w:rsidRPr="00272BC6" w14:paraId="142660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A342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14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7BDF" w14:textId="718058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16E1" w14:textId="2ECECD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8072" w14:textId="2A44CD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4C8F" w14:textId="239BC12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FE2B" w14:textId="1DE46EC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272BC6" w:rsidRPr="00272BC6" w14:paraId="12016F4D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221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EC5EC" w14:textId="7AD0D8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4,335,294.41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BAE7F" w14:textId="475A1A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169,356,753.82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22E15" w14:textId="363485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E9D56" w14:textId="376408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6F7E9" w14:textId="1B4B20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175,742,048.23 </w:t>
            </w:r>
          </w:p>
        </w:tc>
      </w:tr>
      <w:tr w:rsidR="00272BC6" w:rsidRPr="00272BC6" w14:paraId="4F92FD4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7A5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D8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ED39" w14:textId="56697E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8F3B" w14:textId="28E17B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9716" w14:textId="180C88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F9DD" w14:textId="245F28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6913" w14:textId="03E6A6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272BC6" w:rsidRPr="00272BC6" w14:paraId="104E3B6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B84E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72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D7E6" w14:textId="6A32AB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5EAE" w14:textId="134561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2807" w14:textId="172EB4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8730" w14:textId="7BB650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EC9D" w14:textId="623743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</w:tr>
      <w:tr w:rsidR="00272BC6" w:rsidRPr="00272BC6" w14:paraId="6B628EC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7A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F24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4E80" w14:textId="4F0DAA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68C0" w14:textId="29008D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8F4C" w14:textId="0D94BF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590F" w14:textId="14056F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776D" w14:textId="13BE8E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</w:tr>
      <w:tr w:rsidR="00272BC6" w:rsidRPr="00272BC6" w14:paraId="34C267F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C3DA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6B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A201" w14:textId="7E74D6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B3FD" w14:textId="08246C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D086" w14:textId="41A0AB9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4F76" w14:textId="07BF07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5735" w14:textId="680CA3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22,500,000.00 </w:t>
            </w:r>
          </w:p>
        </w:tc>
      </w:tr>
      <w:tr w:rsidR="00272BC6" w:rsidRPr="00272BC6" w14:paraId="69DBAA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B552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C4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CF23" w14:textId="7F4891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5885" w14:textId="7B6744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5,874,133.00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A1E3" w14:textId="73A8F0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4473" w14:textId="3B8060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D873" w14:textId="401E6C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6,973,033.00 </w:t>
            </w:r>
          </w:p>
        </w:tc>
      </w:tr>
      <w:tr w:rsidR="00272BC6" w:rsidRPr="00272BC6" w14:paraId="5A9CA2E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A46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0D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DF5" w14:textId="1AED80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3B20" w14:textId="03F7FE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12,894,992.00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FA2B" w14:textId="34CAF29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F84B" w14:textId="34200CC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49B0" w14:textId="66FE69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13,090,604.56 </w:t>
            </w:r>
          </w:p>
        </w:tc>
      </w:tr>
      <w:tr w:rsidR="00272BC6" w:rsidRPr="00272BC6" w14:paraId="0D548E9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25A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62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E20F" w14:textId="502475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2AE5" w14:textId="538F63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7E0A" w14:textId="53B0F7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205F" w14:textId="32E989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B513" w14:textId="33ECF8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</w:tr>
      <w:tr w:rsidR="00272BC6" w:rsidRPr="00272BC6" w14:paraId="351AA5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E236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C7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16F9" w14:textId="058882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4CDC" w14:textId="18FCB9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7E3F" w14:textId="7E87C4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0710" w14:textId="684B23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B1ED" w14:textId="5DE358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</w:tr>
      <w:tr w:rsidR="00272BC6" w:rsidRPr="00272BC6" w14:paraId="4EF7C2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975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45F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5245" w14:textId="7C1B90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F67D" w14:textId="6541D2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8,982,270.00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CF95" w14:textId="2F6D23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6D7C" w14:textId="6D240D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F48E" w14:textId="2111FE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8,982,270.00 </w:t>
            </w:r>
          </w:p>
        </w:tc>
      </w:tr>
      <w:tr w:rsidR="00272BC6" w:rsidRPr="00272BC6" w14:paraId="462FE3D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D9D5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E6B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06D2" w14:textId="3F2B06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884B" w14:textId="62927A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9590" w14:textId="462744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99DD" w14:textId="408377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AA5A" w14:textId="7470CA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</w:tr>
      <w:tr w:rsidR="00272BC6" w:rsidRPr="00272BC6" w14:paraId="5E83BEB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54C5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2C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7FBB" w14:textId="7C298D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0924" w14:textId="318967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8C9C" w14:textId="18772E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110B" w14:textId="6D4026D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9AB5" w14:textId="6E7B6A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</w:tr>
      <w:tr w:rsidR="00272BC6" w:rsidRPr="00272BC6" w14:paraId="0D1103E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8255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FA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EC43" w14:textId="716C9E6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9F81" w14:textId="434C01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14,150,811.58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F78B" w14:textId="7253DF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8DFA" w14:textId="3D0329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7AAC" w14:textId="7C828A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14,150,811.58 </w:t>
            </w:r>
          </w:p>
        </w:tc>
      </w:tr>
      <w:tr w:rsidR="00272BC6" w:rsidRPr="00272BC6" w14:paraId="102A2F6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0AD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4B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6EDE" w14:textId="0559A2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3D2C" w14:textId="42483E2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AB03" w14:textId="3504E6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4677" w14:textId="067901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1BCB" w14:textId="276912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</w:tr>
      <w:tr w:rsidR="00272BC6" w:rsidRPr="00272BC6" w14:paraId="7DEFA26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9A1D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89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FB1F" w14:textId="1B86C5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A542" w14:textId="012B44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9,569,174.64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BC62" w14:textId="0FF02B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A230" w14:textId="685B0C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FA2E" w14:textId="41C575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9,569,174.64 </w:t>
            </w:r>
          </w:p>
        </w:tc>
      </w:tr>
      <w:tr w:rsidR="00272BC6" w:rsidRPr="00272BC6" w14:paraId="3ADF62D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5643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768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1073" w14:textId="0157E2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E098" w14:textId="466080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1,574,380.44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18BC" w14:textId="2E89AE4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C554" w14:textId="448CA39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09FA" w14:textId="177533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2,053,134.54 </w:t>
            </w:r>
          </w:p>
        </w:tc>
      </w:tr>
      <w:tr w:rsidR="00272BC6" w:rsidRPr="00272BC6" w14:paraId="13A9C0A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5DC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61B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C66D" w14:textId="0CF623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187D" w14:textId="6FA678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11,516,825.00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6BE4" w14:textId="55E277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0D08" w14:textId="661E4E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A17B" w14:textId="5FE1BB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13,566,825.00 </w:t>
            </w:r>
          </w:p>
        </w:tc>
      </w:tr>
      <w:tr w:rsidR="00272BC6" w:rsidRPr="00272BC6" w14:paraId="4078B4D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09F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AE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6A0A" w14:textId="1630F0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CC1C" w14:textId="1A9225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14,890,515.00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3D25" w14:textId="414537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684B" w14:textId="750F29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D366" w14:textId="3B83F9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14,890,515.00 </w:t>
            </w:r>
          </w:p>
        </w:tc>
      </w:tr>
      <w:tr w:rsidR="00272BC6" w:rsidRPr="00272BC6" w14:paraId="189858A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6C3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E7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0C18" w14:textId="4FCE71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DEF8" w14:textId="7CEEB6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4,583,824.96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9973" w14:textId="4AA564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A3F2" w14:textId="2C0496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6C96" w14:textId="7FC910A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5,682,724.96 </w:t>
            </w:r>
          </w:p>
        </w:tc>
      </w:tr>
      <w:tr w:rsidR="00272BC6" w:rsidRPr="00272BC6" w14:paraId="7C95BD8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E1EA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62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26E6" w14:textId="412D0D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405D" w14:textId="02B55B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FE76" w14:textId="3EDEB27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C410" w14:textId="453319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99CB" w14:textId="20E78C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</w:tr>
      <w:tr w:rsidR="00272BC6" w:rsidRPr="00272BC6" w14:paraId="6EB9D55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430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0F6D39" w14:textId="573F79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67,772,649.96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DDE19A" w14:textId="174F05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150,850,793.85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2485C6" w14:textId="388B9A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2CB294" w14:textId="5E9B9DD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CBB3B4" w14:textId="5F0B548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227,979,307.81 </w:t>
            </w:r>
          </w:p>
        </w:tc>
      </w:tr>
      <w:tr w:rsidR="00272BC6" w:rsidRPr="00272BC6" w14:paraId="01BBEDEA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B03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29161" w14:textId="3F89E9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19,959,166.22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901971" w14:textId="003C37F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26,954,296.60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2CF0C5" w14:textId="454289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DA4FC" w14:textId="05F07D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F3549" w14:textId="456600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46,984,417.82 </w:t>
            </w:r>
          </w:p>
        </w:tc>
      </w:tr>
      <w:tr w:rsidR="00272BC6" w:rsidRPr="00272BC6" w14:paraId="26692D4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ECE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D51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4BB6" w14:textId="7CC150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3,202,192.52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7117" w14:textId="76BBDA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2,703,616.00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6662" w14:textId="0866CF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8E13" w14:textId="2341A24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4BE3" w14:textId="38B410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5,905,808.52 </w:t>
            </w:r>
          </w:p>
        </w:tc>
      </w:tr>
      <w:tr w:rsidR="00272BC6" w:rsidRPr="00272BC6" w14:paraId="1C8F9F4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4F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3F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950" w14:textId="1E094CE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CEF9" w14:textId="530F6C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416,580.00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094A" w14:textId="2D6FA2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25D7" w14:textId="5000A7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674D" w14:textId="5A407C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757,128.24 </w:t>
            </w:r>
          </w:p>
        </w:tc>
      </w:tr>
      <w:tr w:rsidR="00272BC6" w:rsidRPr="00272BC6" w14:paraId="7B3D194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F65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3F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251C" w14:textId="3DD0A0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7692" w14:textId="267F0E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864,948.00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78E1" w14:textId="020B6C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58A2" w14:textId="272C812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134B" w14:textId="6FDC1E0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1,096,125.28 </w:t>
            </w:r>
          </w:p>
        </w:tc>
      </w:tr>
      <w:tr w:rsidR="00272BC6" w:rsidRPr="00272BC6" w14:paraId="3B44D3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FD4B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708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FB95" w14:textId="15431D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4570" w14:textId="56DB6B8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21,930.00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D060" w14:textId="4FD0E7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C1ED" w14:textId="675730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6CC7" w14:textId="4259FC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247,581.60 </w:t>
            </w:r>
          </w:p>
        </w:tc>
      </w:tr>
      <w:tr w:rsidR="00272BC6" w:rsidRPr="00272BC6" w14:paraId="352DE6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B15F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EB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3BE6" w14:textId="45E2B2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9FE0" w14:textId="0EC12E4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125,348.00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2C7E" w14:textId="225B69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A8A0" w14:textId="2CFAC1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ED92" w14:textId="728328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153,243.50 </w:t>
            </w:r>
          </w:p>
        </w:tc>
      </w:tr>
      <w:tr w:rsidR="00272BC6" w:rsidRPr="00272BC6" w14:paraId="725ECFB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390E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D2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025C" w14:textId="256688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66A1" w14:textId="3A0B55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224,666.00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0062" w14:textId="381EF0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9DE6" w14:textId="560C97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426B" w14:textId="69780F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748,229.32 </w:t>
            </w:r>
          </w:p>
        </w:tc>
      </w:tr>
      <w:tr w:rsidR="00272BC6" w:rsidRPr="00272BC6" w14:paraId="2F80980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4BA2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A6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67F2" w14:textId="4DB1B3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1,015,403.80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9857" w14:textId="79C42D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955,639.00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0AE3" w14:textId="4DFA88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72AA" w14:textId="0CFFC1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D98C" w14:textId="773C9F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1,971,042.80 </w:t>
            </w:r>
          </w:p>
        </w:tc>
      </w:tr>
      <w:tr w:rsidR="00272BC6" w:rsidRPr="00272BC6" w14:paraId="443739E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4A83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53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7453" w14:textId="2E025E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339F" w14:textId="201385D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3FB1" w14:textId="7BDC97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41F1" w14:textId="513D1A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8FD2" w14:textId="0F5D2D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4,169,496.46 </w:t>
            </w:r>
          </w:p>
        </w:tc>
      </w:tr>
      <w:tr w:rsidR="00272BC6" w:rsidRPr="00272BC6" w14:paraId="29BE2A9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4A8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252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5ED4" w14:textId="6F5C0CB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D449" w14:textId="692F1A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614,816.50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FCAB" w14:textId="323219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E13F" w14:textId="669883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FF69" w14:textId="42FCF3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963,903.38 </w:t>
            </w:r>
          </w:p>
        </w:tc>
      </w:tr>
      <w:tr w:rsidR="00272BC6" w:rsidRPr="00272BC6" w14:paraId="0889411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506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EBB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11AB" w14:textId="05D36BE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1,789,047.50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9176" w14:textId="113FA2C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2,007,414.00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0229" w14:textId="0059DD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8B67" w14:textId="77A9E3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DB35" w14:textId="04A9124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3,796,461.50 </w:t>
            </w:r>
          </w:p>
        </w:tc>
      </w:tr>
      <w:tr w:rsidR="00272BC6" w:rsidRPr="00272BC6" w14:paraId="2194E89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2079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DA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1A58" w14:textId="58C60E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870C" w14:textId="4BCD2F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1,151,232.00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B27A" w14:textId="7B2651A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A0FF" w14:textId="7CF0419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5D0F" w14:textId="3B5570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1,630,566.90 </w:t>
            </w:r>
          </w:p>
        </w:tc>
      </w:tr>
      <w:tr w:rsidR="00272BC6" w:rsidRPr="00272BC6" w14:paraId="285DBFC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B77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99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C814" w14:textId="393FE2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7E1B" w14:textId="31E06A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804,452.95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BFA8" w14:textId="796B6F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4E98" w14:textId="7427D2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10C2" w14:textId="2B0938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1,357,012.87 </w:t>
            </w:r>
          </w:p>
        </w:tc>
      </w:tr>
      <w:tr w:rsidR="00272BC6" w:rsidRPr="00272BC6" w14:paraId="1309264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27B2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3C7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9A82" w14:textId="1C2CF9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56CD" w14:textId="7F4B5B6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749,826.00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CDC4" w14:textId="29A216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A322" w14:textId="2554A6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1B68" w14:textId="27ECF4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1,495,492.88 </w:t>
            </w:r>
          </w:p>
        </w:tc>
      </w:tr>
      <w:tr w:rsidR="00272BC6" w:rsidRPr="00272BC6" w14:paraId="52A9697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DF5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AC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DACE" w14:textId="6BDE05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FCA9" w14:textId="59DC205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51,010.00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A17B" w14:textId="1B73210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CD76" w14:textId="69C86F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29A5" w14:textId="4D3231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128,002.84 </w:t>
            </w:r>
          </w:p>
        </w:tc>
      </w:tr>
      <w:tr w:rsidR="00272BC6" w:rsidRPr="00272BC6" w14:paraId="2D45826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0FCB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8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EE25" w14:textId="75F8B7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C2B5" w14:textId="0C3124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474,386.00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63A3" w14:textId="4163A7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1B6F" w14:textId="5B03A7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6C82" w14:textId="66720F8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739,652.20 </w:t>
            </w:r>
          </w:p>
        </w:tc>
      </w:tr>
      <w:tr w:rsidR="00272BC6" w:rsidRPr="00272BC6" w14:paraId="6FFA67B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7A43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EDA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F130" w14:textId="4B4BC57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B041" w14:textId="42CC8F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886,123.34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8414" w14:textId="3A89BB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E4A2" w14:textId="3EF22A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EDDF" w14:textId="4D38A8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1,726,348.90 </w:t>
            </w:r>
          </w:p>
        </w:tc>
      </w:tr>
      <w:tr w:rsidR="00272BC6" w:rsidRPr="00272BC6" w14:paraId="6EEFFB0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AB4C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C8C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7B70" w14:textId="318F3E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6409" w14:textId="22947B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1,630,883.64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79C5" w14:textId="23E695E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65DE" w14:textId="42CA2A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AD51" w14:textId="670EDDF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2,368,580.02 </w:t>
            </w:r>
          </w:p>
        </w:tc>
      </w:tr>
      <w:tr w:rsidR="00272BC6" w:rsidRPr="00272BC6" w14:paraId="14AEBDE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F210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D4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1223" w14:textId="442D6C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B4B0" w14:textId="0FE503B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93F7" w14:textId="4E4567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1DE9" w14:textId="4D3025B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2972" w14:textId="1798E1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1,687,122.88 </w:t>
            </w:r>
          </w:p>
        </w:tc>
      </w:tr>
      <w:tr w:rsidR="00272BC6" w:rsidRPr="00272BC6" w14:paraId="43D6E9C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8F9D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ED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CC71" w14:textId="69EBCE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0ACD" w14:textId="3942D4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1,137,177.17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4F22" w14:textId="312234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C470" w14:textId="76AC4B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C48C" w14:textId="0BC580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1,990,214.33 </w:t>
            </w:r>
          </w:p>
        </w:tc>
      </w:tr>
      <w:tr w:rsidR="00272BC6" w:rsidRPr="00272BC6" w14:paraId="739B61D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262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B3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DB5A" w14:textId="4109F6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FA85" w14:textId="78A449B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663B" w14:textId="0AD9B6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BBD4" w14:textId="20DC4BF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780D" w14:textId="1619ED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1,213,376.40 </w:t>
            </w:r>
          </w:p>
        </w:tc>
      </w:tr>
      <w:tr w:rsidR="00272BC6" w:rsidRPr="00272BC6" w14:paraId="2EC7B2B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3EA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EE0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2ADB" w14:textId="744D23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E2C2" w14:textId="309D59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692,550.00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0617" w14:textId="610A7A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837C" w14:textId="00910C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11CD" w14:textId="39E8870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766,938.00 </w:t>
            </w:r>
          </w:p>
        </w:tc>
      </w:tr>
      <w:tr w:rsidR="00272BC6" w:rsidRPr="00272BC6" w14:paraId="18EEC7B4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477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55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D61A" w14:textId="487F5A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307,681.06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5904" w14:textId="268630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1,049,583.00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E9C9" w14:textId="02C466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9D1B" w14:textId="6CAE30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13E4" w14:textId="78CEF2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1,369,219.06 </w:t>
            </w:r>
          </w:p>
        </w:tc>
      </w:tr>
      <w:tr w:rsidR="00272BC6" w:rsidRPr="00272BC6" w14:paraId="2A21303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0ED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499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0C9E" w14:textId="4AAD5F4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647,433.42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B131" w14:textId="6F3782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157,914.00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4339" w14:textId="750D582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B1CF" w14:textId="608D3F0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17CF" w14:textId="460C9AA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825,347.42 </w:t>
            </w:r>
          </w:p>
        </w:tc>
      </w:tr>
      <w:tr w:rsidR="00272BC6" w:rsidRPr="00272BC6" w14:paraId="565D4B72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3D4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510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233C" w14:textId="2D5B1FD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8187" w14:textId="6863A9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771,845.00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E286" w14:textId="76DEC7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F748" w14:textId="0C57FB3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85BD" w14:textId="31DCE7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1,286,287.40 </w:t>
            </w:r>
          </w:p>
        </w:tc>
      </w:tr>
      <w:tr w:rsidR="00272BC6" w:rsidRPr="00272BC6" w14:paraId="2FD310F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43F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47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67A6" w14:textId="43985E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49B5" w14:textId="595E08D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8F00" w14:textId="72775EC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E292" w14:textId="38667E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C046" w14:textId="2EBD18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1,122,241.06 </w:t>
            </w:r>
          </w:p>
        </w:tc>
      </w:tr>
      <w:tr w:rsidR="00272BC6" w:rsidRPr="00272BC6" w14:paraId="6D7D0B9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0E9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043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46EB" w14:textId="01767BA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6608" w14:textId="7320C6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801,162.00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37BE" w14:textId="648CBD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512A" w14:textId="324500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6343" w14:textId="738151E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1,338,620.46 </w:t>
            </w:r>
          </w:p>
        </w:tc>
      </w:tr>
      <w:tr w:rsidR="00272BC6" w:rsidRPr="00272BC6" w14:paraId="7073FDB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231E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AF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2053" w14:textId="5F9D4C3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2,238,229.60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D397" w14:textId="7302ED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3,892,144.00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0D9D" w14:textId="090896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1DFF" w14:textId="2CFCC6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90F0" w14:textId="50B562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6,130,373.60 </w:t>
            </w:r>
          </w:p>
        </w:tc>
      </w:tr>
      <w:tr w:rsidR="00272BC6" w:rsidRPr="00272BC6" w14:paraId="3AB7281B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9F8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10D3F1" w14:textId="1EB682E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5,073,631.16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9FA91B" w14:textId="698417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9,675,138.00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74182" w14:textId="19090BF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8E3C1" w14:textId="0E967D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16408C" w14:textId="6C783F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14,748,769.16 </w:t>
            </w:r>
          </w:p>
        </w:tc>
      </w:tr>
      <w:tr w:rsidR="00272BC6" w:rsidRPr="00272BC6" w14:paraId="59DD4EA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67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161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9F9D" w14:textId="3555FB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728,152.16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1E68" w14:textId="6FF68D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437C" w14:textId="58F898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E5BC" w14:textId="0BA721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102D" w14:textId="32DB674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2,372,249.16 </w:t>
            </w:r>
          </w:p>
        </w:tc>
      </w:tr>
      <w:tr w:rsidR="00272BC6" w:rsidRPr="00272BC6" w14:paraId="5723B18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E97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BDD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EF65" w14:textId="0F15887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420,264.36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CD0E" w14:textId="096071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8A59" w14:textId="22F61B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4043" w14:textId="138C2A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3290" w14:textId="3391F66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2,310,264.36 </w:t>
            </w:r>
          </w:p>
        </w:tc>
      </w:tr>
      <w:tr w:rsidR="00272BC6" w:rsidRPr="00272BC6" w14:paraId="2BFA4AD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F560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076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E119" w14:textId="560C64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69A1" w14:textId="30A3BC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2,320,422.00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0E8B" w14:textId="064E6BE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C828" w14:textId="5E87A9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8252" w14:textId="05BDA8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3,062,798.00 </w:t>
            </w:r>
          </w:p>
        </w:tc>
      </w:tr>
      <w:tr w:rsidR="00272BC6" w:rsidRPr="00272BC6" w14:paraId="7E68EF2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53B9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1AB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34DA" w14:textId="7EC231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243,508.00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5C85" w14:textId="3A4506E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926,400.00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4589" w14:textId="172E7E1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9634" w14:textId="4BC6C3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FF11" w14:textId="3C44367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1,169,908.00 </w:t>
            </w:r>
          </w:p>
        </w:tc>
      </w:tr>
      <w:tr w:rsidR="00272BC6" w:rsidRPr="00272BC6" w14:paraId="51FBDFD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BFCB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E0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5299" w14:textId="7ECD10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2,075,331.44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728E" w14:textId="1D80E7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1,480,320.00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6331" w14:textId="01A5B44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0BB7" w14:textId="6B6EA40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5F2B" w14:textId="3D25C3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3,555,651.44 </w:t>
            </w:r>
          </w:p>
        </w:tc>
      </w:tr>
      <w:tr w:rsidR="00272BC6" w:rsidRPr="00272BC6" w14:paraId="755E418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7388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BC2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22F2" w14:textId="2C863A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303,975.20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84A3" w14:textId="28FD9F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628B" w14:textId="35B8DC5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35C1" w14:textId="5E4856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FCFC" w14:textId="3C38116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306,475.20 </w:t>
            </w:r>
          </w:p>
        </w:tc>
      </w:tr>
      <w:tr w:rsidR="00272BC6" w:rsidRPr="00272BC6" w14:paraId="7C96CBA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4231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335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8D97" w14:textId="1BE464D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8C6F" w14:textId="234F7D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1,411,399.00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491B" w14:textId="2776AF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4EED" w14:textId="5A85C8B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A3D4" w14:textId="48D855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1,971,423.00 </w:t>
            </w:r>
          </w:p>
        </w:tc>
      </w:tr>
      <w:tr w:rsidR="00272BC6" w:rsidRPr="00272BC6" w14:paraId="4F46F5A4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015D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21E3D8" w14:textId="000539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18,034,309.98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EA50A" w14:textId="29F95C7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65,686,201.00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7E6D18" w14:textId="129C3B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BD9E2" w14:textId="0ADBF18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2745E" w14:textId="30E096D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93,005,419.98 </w:t>
            </w:r>
          </w:p>
        </w:tc>
      </w:tr>
      <w:tr w:rsidR="00272BC6" w:rsidRPr="00272BC6" w14:paraId="1FFBCB06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A855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68F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D06E" w14:textId="12A246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D9D0" w14:textId="1CDDBB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339,017.00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CFD6" w14:textId="0075B53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2554" w14:textId="47781C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C029" w14:textId="056D90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546,004.54 </w:t>
            </w:r>
          </w:p>
        </w:tc>
      </w:tr>
      <w:tr w:rsidR="00272BC6" w:rsidRPr="00272BC6" w14:paraId="232B8F8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86EC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F08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3687" w14:textId="26D8F7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6,882,896.52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A2B3" w14:textId="3308B9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31,582,400.00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75B6" w14:textId="35BDBF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81F0" w14:textId="1726233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9E38" w14:textId="7AED20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47,205,096.52 </w:t>
            </w:r>
          </w:p>
        </w:tc>
      </w:tr>
      <w:tr w:rsidR="00272BC6" w:rsidRPr="00272BC6" w14:paraId="6036CDA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147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FEF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B08F" w14:textId="72BA815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103A" w14:textId="1ACC99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80,850.00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5656" w14:textId="04630F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1635" w14:textId="0DB9F04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B78F" w14:textId="6B655A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986,294.50 </w:t>
            </w:r>
          </w:p>
        </w:tc>
      </w:tr>
      <w:tr w:rsidR="00272BC6" w:rsidRPr="00272BC6" w14:paraId="1FADDE3A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C5E4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99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46F2" w14:textId="18EAD0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981E" w14:textId="6DC7EA3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794,897.00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8772" w14:textId="14FF299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045E" w14:textId="26B4BC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6FD3" w14:textId="73519B9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1,045,297.00 </w:t>
            </w:r>
          </w:p>
        </w:tc>
      </w:tr>
      <w:tr w:rsidR="00272BC6" w:rsidRPr="00272BC6" w14:paraId="1897926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3121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C17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F7D5" w14:textId="319571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54C2" w14:textId="783B33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8106" w14:textId="425A7F9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A842" w14:textId="118E350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C717" w14:textId="56F92C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1,712,367.38 </w:t>
            </w:r>
          </w:p>
        </w:tc>
      </w:tr>
      <w:tr w:rsidR="00272BC6" w:rsidRPr="00272BC6" w14:paraId="541B97C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833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B4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3299" w14:textId="4B7E181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188,929.70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04E7" w14:textId="537C99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3,662,284.00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EC48" w14:textId="60A86E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623E" w14:textId="5899C7E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C76D" w14:textId="128395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4,225,467.70 </w:t>
            </w:r>
          </w:p>
        </w:tc>
      </w:tr>
      <w:tr w:rsidR="00272BC6" w:rsidRPr="00272BC6" w14:paraId="3CE6924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BB9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63D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592A" w14:textId="46FF52B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6CFD" w14:textId="2E8608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10,565,000.00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962" w14:textId="2171520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7CA3" w14:textId="7E1494F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52C1" w14:textId="331E4D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10,875,890.56 </w:t>
            </w:r>
          </w:p>
        </w:tc>
      </w:tr>
      <w:tr w:rsidR="00272BC6" w:rsidRPr="00272BC6" w14:paraId="4F95009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714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8A1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61A7" w14:textId="032E52B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1557" w14:textId="6A18C51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83FF" w14:textId="24A047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9BDD" w14:textId="3DDAD3F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390A" w14:textId="60CCF67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5,555,632.58 </w:t>
            </w:r>
          </w:p>
        </w:tc>
      </w:tr>
      <w:tr w:rsidR="00272BC6" w:rsidRPr="00272BC6" w14:paraId="52EDE5E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5418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B9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1674" w14:textId="0E4DF5E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2B38" w14:textId="2488C4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2,641,250.00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DD55" w14:textId="70D1B5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E57E" w14:textId="7C1466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BD8F" w14:textId="2C3AC9F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3,039,906.00 </w:t>
            </w:r>
          </w:p>
        </w:tc>
      </w:tr>
      <w:tr w:rsidR="00272BC6" w:rsidRPr="00272BC6" w14:paraId="38757AD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A79C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C35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5224" w14:textId="1F2A95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4,338,811.30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2D1C" w14:textId="26ECB1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1,842,960.00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5294" w14:textId="44544B5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D593" w14:textId="71B8E4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5220" w14:textId="522F46A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6,181,771.30 </w:t>
            </w:r>
          </w:p>
        </w:tc>
      </w:tr>
      <w:tr w:rsidR="00272BC6" w:rsidRPr="00272BC6" w14:paraId="2679B78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6E64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CB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FFBF" w14:textId="65A126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0FF0" w14:textId="56A2DB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1,941,400.00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43F3" w14:textId="17B3B76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B258" w14:textId="0045CBB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B77B" w14:textId="6EE313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2,441,594.00 </w:t>
            </w:r>
          </w:p>
        </w:tc>
      </w:tr>
      <w:tr w:rsidR="00272BC6" w:rsidRPr="00272BC6" w14:paraId="571E2C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2D20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D0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9CC7" w14:textId="7A8A74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3E0F" w14:textId="7811AE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8F08" w14:textId="6DA3CEE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E79E" w14:textId="006D2B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7DB3" w14:textId="43CFCE2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1,275,696.50 </w:t>
            </w:r>
          </w:p>
        </w:tc>
      </w:tr>
      <w:tr w:rsidR="00272BC6" w:rsidRPr="00272BC6" w14:paraId="1E8E5CF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C910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0DD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D4F4" w14:textId="1BFDBC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8029" w14:textId="3C46575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5,060,403.00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97D7" w14:textId="6F92BE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B8CC" w14:textId="3E8DC5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2B9A" w14:textId="02D8ACC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6,939,221.00 </w:t>
            </w:r>
          </w:p>
        </w:tc>
      </w:tr>
      <w:tr w:rsidR="00272BC6" w:rsidRPr="00272BC6" w14:paraId="7DD733D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1DF3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957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222A" w14:textId="506BD69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6060" w14:textId="195DC3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736,040.00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28C8" w14:textId="0722FA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3556" w14:textId="7374D7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CBF4" w14:textId="7B44B9A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975,180.40 </w:t>
            </w:r>
          </w:p>
        </w:tc>
      </w:tr>
      <w:tr w:rsidR="00272BC6" w:rsidRPr="00272BC6" w14:paraId="7956C0E1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BD38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E025C" w14:textId="1B0E712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8,914,023.17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D5EFD" w14:textId="4CA601A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31,705,405.46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1C209" w14:textId="57AC0D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DC0F7" w14:textId="1C0CE6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09A93" w14:textId="46DBC32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40,619,428.63 </w:t>
            </w:r>
          </w:p>
        </w:tc>
      </w:tr>
      <w:tr w:rsidR="00272BC6" w:rsidRPr="00272BC6" w14:paraId="1C9CCD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82E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D76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EA01" w14:textId="05F1844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02CE" w14:textId="3FCFA8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1,099,850.00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5588" w14:textId="5CA234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FAD3" w14:textId="4C1515E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683E" w14:textId="7C829E2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1,384,012.16 </w:t>
            </w:r>
          </w:p>
        </w:tc>
      </w:tr>
      <w:tr w:rsidR="00272BC6" w:rsidRPr="00272BC6" w14:paraId="3EB6D9CE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9F27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33B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E48" w14:textId="1DC626C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C455" w14:textId="700CE35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7,856,000.00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EB76" w14:textId="36737AB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EE00" w14:textId="7337CE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518F" w14:textId="64C616D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8,607,200.00 </w:t>
            </w:r>
          </w:p>
        </w:tc>
      </w:tr>
      <w:tr w:rsidR="00272BC6" w:rsidRPr="00272BC6" w14:paraId="260A102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E7B3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D75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C19B" w14:textId="10088C5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161A" w14:textId="6F8C537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4,095,822.50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9F2B" w14:textId="2B0BCD8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DF2E" w14:textId="26ABDE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C824" w14:textId="40EFAB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4,320,846.20 </w:t>
            </w:r>
          </w:p>
        </w:tc>
      </w:tr>
      <w:tr w:rsidR="00272BC6" w:rsidRPr="00272BC6" w14:paraId="1473A7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98FF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BA1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0F9B" w14:textId="6A58D71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185,970.00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66B4" w14:textId="0A49E9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4,124,115.00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E67A" w14:textId="02A8B8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9D0D" w14:textId="4F075E5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E78B" w14:textId="66A40B2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4,310,085.00 </w:t>
            </w:r>
          </w:p>
        </w:tc>
      </w:tr>
      <w:tr w:rsidR="00272BC6" w:rsidRPr="00272BC6" w14:paraId="22606E7F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ED0B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181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81D1" w14:textId="7F1AA1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24DD" w14:textId="7B79178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1,248,456.00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0887" w14:textId="50852E4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FF82" w14:textId="697501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D740" w14:textId="5D8848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1,801,643.18 </w:t>
            </w:r>
          </w:p>
        </w:tc>
      </w:tr>
      <w:tr w:rsidR="00272BC6" w:rsidRPr="00272BC6" w14:paraId="6F426BF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BB3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231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2FF4" w14:textId="25ACA8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1,109,596.80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9FCD" w14:textId="616867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4,309,426.00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2E1F" w14:textId="015CD4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5360" w14:textId="32B378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43F1" w14:textId="03ADB00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5,419,022.80 </w:t>
            </w:r>
          </w:p>
        </w:tc>
      </w:tr>
      <w:tr w:rsidR="00272BC6" w:rsidRPr="00272BC6" w14:paraId="4814A37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90E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504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8385" w14:textId="2F0E65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42FC" w14:textId="123E7C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3,631,743.00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83D4" w14:textId="61D0ED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4464" w14:textId="691C0B8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8B37" w14:textId="2AA837C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5,833,711.63 </w:t>
            </w:r>
          </w:p>
        </w:tc>
      </w:tr>
      <w:tr w:rsidR="00272BC6" w:rsidRPr="00272BC6" w14:paraId="1494825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092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E94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2FF9" w14:textId="448B4B5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1B82" w14:textId="7B3DCE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1,945,640.00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F89B" w14:textId="694DD6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3CDB" w14:textId="6BF5321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82A3" w14:textId="7762EBF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3,298,232.02 </w:t>
            </w:r>
          </w:p>
        </w:tc>
      </w:tr>
      <w:tr w:rsidR="00272BC6" w:rsidRPr="00272BC6" w14:paraId="79957F0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A59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3F0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0453" w14:textId="2264DBF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C9A67" w14:textId="3243A4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1,170,942.96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2861" w14:textId="0970916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D0BE" w14:textId="15048A6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CD66" w14:textId="0D895E7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2,382,637.96 </w:t>
            </w:r>
          </w:p>
        </w:tc>
      </w:tr>
      <w:tr w:rsidR="00272BC6" w:rsidRPr="00272BC6" w14:paraId="1C56BC1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C3A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C4D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70F4" w14:textId="5A44338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1C5A" w14:textId="24FB046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506,800.00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8F1F" w14:textId="33A5E33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7DCB" w14:textId="0875EE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8D05" w14:textId="555ACB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 xml:space="preserve">794,227.68 </w:t>
            </w:r>
          </w:p>
        </w:tc>
      </w:tr>
      <w:tr w:rsidR="00272BC6" w:rsidRPr="00272BC6" w14:paraId="7831A64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B0FA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79B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4BD9" w14:textId="5F8D2C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A7DC" w14:textId="3CC7156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1,716,610.00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8F92" w14:textId="1AB179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960E" w14:textId="7DF8122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4B88" w14:textId="1DAC5F5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2,467,810.00 </w:t>
            </w:r>
          </w:p>
        </w:tc>
      </w:tr>
      <w:tr w:rsidR="00272BC6" w:rsidRPr="00272BC6" w14:paraId="634D77D3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5C89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D22FE" w14:textId="1CA42B3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10,914,278.25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457D2" w14:textId="62BF03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12,631,696.79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49DC59" w14:textId="0F51524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6F9A1" w14:textId="1E136DB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37147" w14:textId="6E2E601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23,545,975.04 </w:t>
            </w:r>
          </w:p>
        </w:tc>
      </w:tr>
      <w:tr w:rsidR="00272BC6" w:rsidRPr="00272BC6" w14:paraId="3C04550D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ABAF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2D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DDDE" w14:textId="0DF6417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8157" w14:textId="36633E2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1,219,577.51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AB78" w14:textId="303723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CB4C" w14:textId="296AF3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FF00" w14:textId="58D5C9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2,423,054.95 </w:t>
            </w:r>
          </w:p>
        </w:tc>
      </w:tr>
      <w:tr w:rsidR="00272BC6" w:rsidRPr="00272BC6" w14:paraId="5D46C8B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BA7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A8B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4822" w14:textId="5797FA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0249" w14:textId="3809CC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1,030,499.54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A4B9" w14:textId="354DDA8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573A" w14:textId="571A61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1606" w14:textId="20B8DCA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2,251,652.90 </w:t>
            </w:r>
          </w:p>
        </w:tc>
      </w:tr>
      <w:tr w:rsidR="00272BC6" w:rsidRPr="00272BC6" w14:paraId="0E7DDAA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A4FE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962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2A6B2" w14:textId="64EB923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891,413.56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C18C" w14:textId="56E134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EB42" w14:textId="29C2A41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FCD2" w14:textId="0F585C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E6D3" w14:textId="63F7B94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1,412,113.56 </w:t>
            </w:r>
          </w:p>
        </w:tc>
      </w:tr>
      <w:tr w:rsidR="00272BC6" w:rsidRPr="00272BC6" w14:paraId="384C09F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4D1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B1C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8571" w14:textId="4FE78D5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1,728,628.96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26B3" w14:textId="4D2970B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1,304,100.00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9B63" w14:textId="3BECB8B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F032" w14:textId="3D0D337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6FBA" w14:textId="0BB762F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3,032,728.96 </w:t>
            </w:r>
          </w:p>
        </w:tc>
      </w:tr>
      <w:tr w:rsidR="00272BC6" w:rsidRPr="00272BC6" w14:paraId="438934A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198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F62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743A" w14:textId="37E077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DB44" w14:textId="22420A1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579,948.66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A5D5" w14:textId="5DB1E37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A5F5" w14:textId="404AA37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9014" w14:textId="7FDC2FC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1,413,428.70 </w:t>
            </w:r>
          </w:p>
        </w:tc>
      </w:tr>
      <w:tr w:rsidR="00272BC6" w:rsidRPr="00272BC6" w14:paraId="4C29A94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56E92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753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605A" w14:textId="10E3D9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566,578.48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6092" w14:textId="54241D1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2,097,245.00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8EE3" w14:textId="2FA45B2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901A" w14:textId="453A195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162E" w14:textId="1A6DB0C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2,663,823.48 </w:t>
            </w:r>
          </w:p>
        </w:tc>
      </w:tr>
      <w:tr w:rsidR="00272BC6" w:rsidRPr="00272BC6" w14:paraId="3996175B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08021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62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8E3F" w14:textId="3B83E5B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1,660,582.00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C2FC" w14:textId="05C382D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1,248,174.00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E496" w14:textId="53E005E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1A52" w14:textId="4C0CF0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A5BC" w14:textId="284DAE1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2,908,756.00 </w:t>
            </w:r>
          </w:p>
        </w:tc>
      </w:tr>
      <w:tr w:rsidR="00272BC6" w:rsidRPr="00272BC6" w14:paraId="13BE03E9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AD3D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2B37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885D" w14:textId="3322E71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2,808,964.41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3824" w14:textId="65CA44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4,631,452.08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ADB2" w14:textId="13ED6CA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5FBA" w14:textId="0987CC09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4925" w14:textId="625837A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7,440,416.49 </w:t>
            </w:r>
          </w:p>
        </w:tc>
      </w:tr>
      <w:tr w:rsidR="00272BC6" w:rsidRPr="00272BC6" w14:paraId="01D6612C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8B1A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4FDE3" w14:textId="27AA186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4,877,241.18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C9E3E" w14:textId="5EBDF51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4,198,056.00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CF93E1" w14:textId="20DB1B0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68F308" w14:textId="538F5E6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06102" w14:textId="5E7349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9,075,297.18 </w:t>
            </w:r>
          </w:p>
        </w:tc>
      </w:tr>
      <w:tr w:rsidR="00272BC6" w:rsidRPr="00272BC6" w14:paraId="6D503D5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877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8A3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85F2" w14:textId="69332BF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7B90" w14:textId="0F9FF55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219,380.00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3DAC" w14:textId="4F2D129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BAB6" w14:textId="5B60729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C00B" w14:textId="32F69AE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598,501.76 </w:t>
            </w:r>
          </w:p>
        </w:tc>
      </w:tr>
      <w:tr w:rsidR="00272BC6" w:rsidRPr="00272BC6" w14:paraId="4E7C89DC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EEAA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039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33F5" w14:textId="6F5B07D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2D20" w14:textId="7996CD6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F1E0" w14:textId="3E53D94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02A0" w14:textId="221665C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B5AD" w14:textId="42A9C22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1,529,929.40 </w:t>
            </w:r>
          </w:p>
        </w:tc>
      </w:tr>
      <w:tr w:rsidR="00272BC6" w:rsidRPr="00272BC6" w14:paraId="1B8EA240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198D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04E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77EC" w14:textId="0E55F5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4B16" w14:textId="289299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227,981.60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673B" w14:textId="13C15B0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0CEA" w14:textId="2AAFEDB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359D" w14:textId="7EE0C2C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293,573.60 </w:t>
            </w:r>
          </w:p>
        </w:tc>
      </w:tr>
      <w:tr w:rsidR="00272BC6" w:rsidRPr="00272BC6" w14:paraId="7C09CF0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33F6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173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F5FD" w14:textId="023FA6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CB6B" w14:textId="6AE1B9C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1,018,000.40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9FE9" w14:textId="7AF821A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97E5" w14:textId="519F6C2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F58B" w14:textId="67C8459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1,558,235.40 </w:t>
            </w:r>
          </w:p>
        </w:tc>
      </w:tr>
      <w:tr w:rsidR="00272BC6" w:rsidRPr="00272BC6" w14:paraId="378FEE05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83136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AD3A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3DEB" w14:textId="7E23C2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254E2" w14:textId="7F4F5BC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4D3F" w14:textId="31C2258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605A" w14:textId="521BE22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16EA" w14:textId="70E6B9F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272BC6" w:rsidRPr="00272BC6" w14:paraId="177E3CF3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AF59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1EB5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EDD4" w14:textId="1BFEEE3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C352" w14:textId="1BC8DC8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768,460.00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EA71" w14:textId="58F8153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E019" w14:textId="181B603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D9E7" w14:textId="1EA490C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2,011,657.26 </w:t>
            </w:r>
          </w:p>
        </w:tc>
      </w:tr>
      <w:tr w:rsidR="00272BC6" w:rsidRPr="00272BC6" w14:paraId="5E1D531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4FB6F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C44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309C" w14:textId="12C9EC1F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8439" w14:textId="7A86936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689,234.00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5759" w14:textId="627EE09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C69A" w14:textId="75634F3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D08B" w14:textId="55BADCA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756,183.20 </w:t>
            </w:r>
          </w:p>
        </w:tc>
      </w:tr>
      <w:tr w:rsidR="00272BC6" w:rsidRPr="00272BC6" w14:paraId="2BB8AF67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97718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901C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6B71" w14:textId="1688241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D61E" w14:textId="42B1DAD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37B6" w14:textId="3C0B80D1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E981" w14:textId="378E26D5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D009" w14:textId="52D8F76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1,560,006.00 </w:t>
            </w:r>
          </w:p>
        </w:tc>
      </w:tr>
      <w:tr w:rsidR="00272BC6" w:rsidRPr="00272BC6" w14:paraId="716F6E18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DDCDB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A09D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85D2" w14:textId="330CCF6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228,230.56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9A82" w14:textId="403315B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6988" w14:textId="14363A2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6D6F" w14:textId="00BC150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0BCC" w14:textId="362131C4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603,230.56 </w:t>
            </w:r>
          </w:p>
        </w:tc>
      </w:tr>
      <w:tr w:rsidR="00272BC6" w:rsidRPr="00272BC6" w14:paraId="3F274F2F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DF7884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1F4C13" w14:textId="491D4FD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B652DD" w14:textId="5DD88D0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95B995" w14:textId="774D38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FD6609" w14:textId="112B3D4B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407077" w14:textId="24FC50E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72BC6" w:rsidRPr="00272BC6" w14:paraId="70865442" w14:textId="77777777" w:rsidTr="00272BC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5A2A0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Lanao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CCB2F" w14:textId="77A713A2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BBBF7" w14:textId="787ACC8E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6D02B" w14:textId="563BB3B8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CC880" w14:textId="4390718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4D043" w14:textId="2DACA756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72BC6" w:rsidRPr="00272BC6" w14:paraId="1D109F71" w14:textId="77777777" w:rsidTr="00272B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B5179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8593" w14:textId="77777777" w:rsidR="00272BC6" w:rsidRPr="00272BC6" w:rsidRDefault="00272BC6" w:rsidP="00272BC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FA33" w14:textId="0D129C1A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26ED" w14:textId="2C15A09C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5F56" w14:textId="11DED09D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5AC2" w14:textId="6F9A5893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8943" w14:textId="3EB5C3D0" w:rsidR="00272BC6" w:rsidRPr="00272BC6" w:rsidRDefault="00272BC6" w:rsidP="00272B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72BC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1E4FBD62" w14:textId="454B4C1C" w:rsidR="00A06D0A" w:rsidRPr="00272BC6" w:rsidRDefault="009266CC" w:rsidP="00272BC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29B3F282" w14:textId="2E22829D" w:rsidR="00A06D0A" w:rsidRDefault="003E4C18" w:rsidP="00272BC6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5958D9FD" w14:textId="4893E868" w:rsidR="00272BC6" w:rsidRDefault="00272BC6" w:rsidP="00272BC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</w:p>
    <w:p w14:paraId="1476A447" w14:textId="45B2357C" w:rsidR="00272BC6" w:rsidRPr="00272BC6" w:rsidRDefault="00272BC6" w:rsidP="00272BC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</w:p>
    <w:p w14:paraId="17561CCB" w14:textId="62E2967C" w:rsidR="00C46DA6" w:rsidRPr="00F918A9" w:rsidRDefault="00C46DA6" w:rsidP="00C46DA6">
      <w:pPr>
        <w:contextualSpacing/>
        <w:rPr>
          <w:rFonts w:ascii="Arial" w:eastAsia="Arial" w:hAnsi="Arial" w:cs="Arial"/>
          <w:b/>
          <w:sz w:val="28"/>
          <w:szCs w:val="28"/>
        </w:rPr>
      </w:pPr>
      <w:r w:rsidRPr="00F918A9">
        <w:rPr>
          <w:rFonts w:ascii="Arial" w:eastAsia="Arial" w:hAnsi="Arial" w:cs="Arial"/>
          <w:b/>
          <w:sz w:val="28"/>
          <w:szCs w:val="28"/>
        </w:rPr>
        <w:t>Status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of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Prepositioned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Resources: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Stockpile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and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Standby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Funds</w:t>
      </w:r>
    </w:p>
    <w:p w14:paraId="5D9B679E" w14:textId="77777777" w:rsidR="00C46DA6" w:rsidRPr="00F918A9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4CA9A18B" w:rsidR="00C46DA6" w:rsidRPr="00F918A9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DSWD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Central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Office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(CO),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Field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Offices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(FOs),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National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Resource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Operations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Center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(NROC)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have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stockpiles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funds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 w:cs="Arial"/>
          <w:b/>
          <w:bCs/>
          <w:sz w:val="24"/>
          <w:szCs w:val="24"/>
        </w:rPr>
        <w:t xml:space="preserve">1,645,776,450.60 </w:t>
      </w:r>
      <w:r w:rsidRPr="00F918A9">
        <w:rPr>
          <w:rFonts w:ascii="Arial" w:eastAsia="Arial" w:hAnsi="Arial" w:cs="Arial"/>
          <w:sz w:val="24"/>
          <w:szCs w:val="24"/>
        </w:rPr>
        <w:t>with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breakdown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follows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(see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Table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F918A9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F918A9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918A9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F918A9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A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total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072E73" w:rsidRPr="00F918A9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F918A9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FOs.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said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072E73" w:rsidRPr="00F918A9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F918A9">
        <w:rPr>
          <w:rFonts w:ascii="Arial" w:eastAsia="Arial" w:hAnsi="Arial" w:cs="Arial"/>
          <w:sz w:val="24"/>
          <w:szCs w:val="24"/>
        </w:rPr>
        <w:t>is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available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F918A9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F918A9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918A9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05229ACA" w:rsidR="00C46DA6" w:rsidRPr="00F918A9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A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total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322,044 </w:t>
      </w:r>
      <w:r w:rsidRPr="00F918A9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 w:cs="Arial"/>
          <w:b/>
          <w:bCs/>
          <w:sz w:val="24"/>
          <w:szCs w:val="24"/>
        </w:rPr>
        <w:t>154,673,834.85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268,482,260.77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464,089,420.42 </w:t>
      </w:r>
      <w:r w:rsidRPr="00F918A9">
        <w:rPr>
          <w:rFonts w:ascii="Arial" w:eastAsia="Arial" w:hAnsi="Arial" w:cs="Arial"/>
          <w:sz w:val="24"/>
          <w:szCs w:val="24"/>
        </w:rPr>
        <w:t>are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available.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F918A9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20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7"/>
        <w:gridCol w:w="878"/>
        <w:gridCol w:w="1398"/>
        <w:gridCol w:w="1403"/>
        <w:gridCol w:w="1174"/>
        <w:gridCol w:w="1589"/>
      </w:tblGrid>
      <w:tr w:rsidR="00A57C27" w:rsidRPr="00A57C27" w14:paraId="0CBDE5E4" w14:textId="77777777" w:rsidTr="00EF0754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3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0234" w14:textId="4A2708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61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38B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B48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14F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A57C27" w:rsidRPr="00A57C27" w14:paraId="4BC7A9E2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2926B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BF3C9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6A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AF4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82CC0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4DA05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01B6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A57C27" w:rsidRPr="00A57C27" w14:paraId="45BCAF20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CD1ED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F7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8A5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322,044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E9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154,673,834.85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EE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268,482,260.77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44C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464,089,420.42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6F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1,645,776,450.60</w:t>
            </w:r>
          </w:p>
        </w:tc>
      </w:tr>
      <w:tr w:rsidR="00A57C27" w:rsidRPr="00A57C27" w14:paraId="1CC1B53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72AD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D67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97536" w14:textId="567CA18F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4904" w14:textId="064ECD1C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2BB2" w14:textId="181F5CB4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19D1" w14:textId="06341B58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2B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</w:tr>
      <w:tr w:rsidR="00A57C27" w:rsidRPr="00A57C27" w14:paraId="32C171D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DF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9674" w14:textId="45CD9F92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4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59,091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9C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25,199,645.00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B0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44,649,244.80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09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253,661,454.96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36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323,510,344.76</w:t>
            </w:r>
          </w:p>
        </w:tc>
      </w:tr>
      <w:tr w:rsidR="00A57C27" w:rsidRPr="00A57C27" w14:paraId="3560304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4B7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288C" w14:textId="5C59B11E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3B6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11,688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CA1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5,528,424.00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D4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C91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7A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29,219,692.40</w:t>
            </w:r>
          </w:p>
        </w:tc>
      </w:tr>
      <w:tr w:rsidR="00A57C27" w:rsidRPr="00A57C27" w14:paraId="0C7AF3F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582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93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3,000,455.00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87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20,691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6B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11,317,743.48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20C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2,820,730.00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85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32,185,330.12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69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49,324,258.60</w:t>
            </w:r>
          </w:p>
        </w:tc>
      </w:tr>
      <w:tr w:rsidR="00A57C27" w:rsidRPr="00A57C27" w14:paraId="586A534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828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648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2,648,138.89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C06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18,283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0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8,524,852.54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E0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10,680,333.55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84A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2F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27,363,723.93</w:t>
            </w:r>
          </w:p>
        </w:tc>
      </w:tr>
      <w:tr w:rsidR="00A57C27" w:rsidRPr="00A57C27" w14:paraId="013F360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99A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D95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A1A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7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8,274,557.16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DD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3,612,239.72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1FC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83F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19,579,095.83</w:t>
            </w:r>
          </w:p>
        </w:tc>
      </w:tr>
      <w:tr w:rsidR="00A57C27" w:rsidRPr="00A57C27" w14:paraId="32F0581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C8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DF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899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4,307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F6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1,705,572.00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E5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7,444,130.00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12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5,100,261.58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993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17,249,963.58</w:t>
            </w:r>
          </w:p>
        </w:tc>
      </w:tr>
      <w:tr w:rsidR="00A57C27" w:rsidRPr="00A57C27" w14:paraId="0C35574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DE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B9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2,949,289.19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1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16,056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1E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7,225,200.00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76E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4,637,097.00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ACB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4,732,376.25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0F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19,543,962.44</w:t>
            </w:r>
          </w:p>
        </w:tc>
      </w:tr>
      <w:tr w:rsidR="00A57C27" w:rsidRPr="00A57C27" w14:paraId="1533A5B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3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1B7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3F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7,927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7B8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3,425,899.70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503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11,036,755.17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4E7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24,926,132.90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8C4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42,389,837.77</w:t>
            </w:r>
          </w:p>
        </w:tc>
      </w:tr>
      <w:tr w:rsidR="00A57C27" w:rsidRPr="00A57C27" w14:paraId="769BF01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0A4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5E1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3,000,851.68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899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12,977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91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6,251,590.67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2E0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48,938,958.77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45D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2A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65,044,900.51</w:t>
            </w:r>
          </w:p>
        </w:tc>
      </w:tr>
      <w:tr w:rsidR="00A57C27" w:rsidRPr="00A57C27" w14:paraId="6798A31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FF5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B99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3,024,851.31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B6A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65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4,246,851.18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17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21,351,405.58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DCE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9A5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28,701,428.07</w:t>
            </w:r>
          </w:p>
        </w:tc>
      </w:tr>
      <w:tr w:rsidR="00A57C27" w:rsidRPr="00A57C27" w14:paraId="6317BCE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9F1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36B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58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70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7D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6,653,431.70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5B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19,402,680.38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B19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42,268,624.79</w:t>
            </w:r>
          </w:p>
        </w:tc>
      </w:tr>
      <w:tr w:rsidR="00A57C27" w:rsidRPr="00A57C27" w14:paraId="622DF56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DC0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1140" w14:textId="4C209B06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E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24,545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20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13,401,570.00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C1A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8,782,570.00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554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14,357,924.59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F8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36,542,064.59</w:t>
            </w:r>
          </w:p>
        </w:tc>
      </w:tr>
      <w:tr w:rsidR="00A57C27" w:rsidRPr="00A57C27" w14:paraId="565CF7E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C6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E46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61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41,168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4F4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25,928,248.11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829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4F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19,496,811.72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76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81,361,877.76</w:t>
            </w:r>
          </w:p>
        </w:tc>
      </w:tr>
      <w:tr w:rsidR="00A57C27" w:rsidRPr="00A57C27" w14:paraId="60C9E85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A28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71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1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B3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3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4F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3D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47,198,040.65</w:t>
            </w:r>
          </w:p>
        </w:tc>
      </w:tr>
      <w:tr w:rsidR="00A57C27" w:rsidRPr="00A57C27" w14:paraId="35495199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367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E1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4,543,701.68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637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9,917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0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5,454,350.00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E9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10,289,125.49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703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12,876,448.72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C9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33,163,625.89</w:t>
            </w:r>
          </w:p>
        </w:tc>
      </w:tr>
      <w:tr w:rsidR="00A57C27" w:rsidRPr="00A57C27" w14:paraId="7AFD5A9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3BE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7F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CEB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F5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2,684,809.34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AF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1,905,489.12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EF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2F6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13,637,854.21</w:t>
            </w:r>
          </w:p>
        </w:tc>
      </w:tr>
      <w:tr w:rsidR="00A57C27" w:rsidRPr="00A57C27" w14:paraId="3534324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A02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ED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3,000,079.00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F3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8,174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D8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3,635,943.60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79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8,541,563.55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98A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10,496,672.27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26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25,674,258.42</w:t>
            </w:r>
          </w:p>
        </w:tc>
      </w:tr>
      <w:tr w:rsidR="00A57C27" w:rsidRPr="00A57C27" w14:paraId="6F27EFD6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2A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BA1B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3,003,033.00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FA2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11,560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1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4,875,201.76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3A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11,010,371.16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05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11,941,519.14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68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30,830,125.06</w:t>
            </w:r>
          </w:p>
        </w:tc>
      </w:tr>
    </w:tbl>
    <w:p w14:paraId="714BE5B6" w14:textId="748C1F8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A51F87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51F87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25E3D429" w14:textId="306E7C46" w:rsidR="00272BC6" w:rsidRDefault="00C46DA6" w:rsidP="00272BC6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19A24CCB" w14:textId="77777777" w:rsidR="00272BC6" w:rsidRPr="00272BC6" w:rsidRDefault="00272BC6" w:rsidP="00272BC6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C29D0C4" w14:textId="77777777" w:rsidR="00272BC6" w:rsidRDefault="00272BC6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058E7E2" w14:textId="77777777" w:rsidR="00272BC6" w:rsidRDefault="00272BC6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30DB83B8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EE79ECD" w:rsidR="009702AE" w:rsidRPr="002D6AC8" w:rsidRDefault="005F78C0" w:rsidP="002D6A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AC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D6AC8" w:rsidRPr="002D6AC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266CC" w:rsidRPr="002D6A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2D6AC8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="004B6611" w:rsidRPr="002D6AC8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266CC" w:rsidRPr="002D6A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2D6AC8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2D6AC8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44652354" w14:textId="21950997" w:rsidR="0030572E" w:rsidRPr="002D6AC8" w:rsidRDefault="0030572E" w:rsidP="0030572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 staff provided augmentation to the 2nd Hatid Tulong Initiative at the Philippine Sports Commission Vito Cruz, Malate, Manila.</w:t>
            </w:r>
          </w:p>
          <w:p w14:paraId="047F7687" w14:textId="19549393" w:rsidR="00D07395" w:rsidRPr="002D6AC8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2D6AC8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44A74CC7" w14:textId="2ACAE21B" w:rsidR="00F06F65" w:rsidRPr="002D6AC8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PRD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082E1401" w14:textId="317BE541" w:rsidR="00F96844" w:rsidRPr="002D6AC8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2D6AC8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1FDB260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60E5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19083FA1" w:rsidR="009702AE" w:rsidRPr="00560E5A" w:rsidRDefault="00553D04" w:rsidP="00C671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60E5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6712B" w:rsidRPr="00560E5A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60E5A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E143CE" w:rsidRPr="00560E5A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60E5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73855F0A" w:rsidR="009702AE" w:rsidRPr="00560E5A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E5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560E5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837A4" w:rsidRPr="00560E5A">
              <w:rPr>
                <w:rFonts w:ascii="Arial" w:eastAsia="Arial" w:hAnsi="Arial" w:cs="Arial"/>
                <w:b/>
                <w:sz w:val="20"/>
                <w:szCs w:val="19"/>
              </w:rPr>
              <w:t>31</w:t>
            </w:r>
            <w:r w:rsidR="009266CC" w:rsidRPr="00560E5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3D04" w:rsidRPr="00560E5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6712B" w:rsidRPr="00560E5A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AF11AF" w:rsidRPr="00560E5A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560E5A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560E5A" w:rsidRPr="00560E5A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560E5A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560E5A" w:rsidRPr="00560E5A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60E5A" w:rsidRPr="00560E5A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560E5A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560E5A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560E5A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60E5A" w:rsidRPr="00560E5A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60E5A" w:rsidRPr="00560E5A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60E5A" w:rsidRPr="00560E5A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60E5A" w:rsidRPr="00560E5A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60E5A" w:rsidRPr="00560E5A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60E5A" w:rsidRPr="00560E5A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60E5A" w:rsidRPr="00560E5A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60E5A" w:rsidRPr="00560E5A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60E5A" w:rsidRPr="00560E5A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560E5A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560E5A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60E5A" w:rsidRPr="00560E5A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60E5A" w:rsidRPr="00560E5A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60E5A" w:rsidRPr="00560E5A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560E5A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560E5A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560E5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60E5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560E5A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E5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77036F0D" w14:textId="7166C4E1" w:rsidR="009702AE" w:rsidRPr="00560E5A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E5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60E5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E5A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0A9C9DCA" w:rsidR="009702AE" w:rsidRPr="00F7542B" w:rsidRDefault="002C41E3" w:rsidP="002D6A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D6AC8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0526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FBC2" w14:textId="7A30B848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 with PMS and Provincial DRRM PDO II for the monitoring of Locally Stranded Individuals (LSIs).</w:t>
            </w:r>
          </w:p>
          <w:p w14:paraId="35AC81AB" w14:textId="50A7F167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Preparation of documents for the provision of assistance to the LSIs.</w:t>
            </w:r>
          </w:p>
          <w:p w14:paraId="55E4CBEA" w14:textId="14F86D45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Meeting with Cordillera RDRRMC for the Culmination Activity of the National Disaster Resilience Month.</w:t>
            </w:r>
          </w:p>
          <w:p w14:paraId="2ABE66B6" w14:textId="40F7537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3324EE24" w:rsidR="009702AE" w:rsidRPr="00F7542B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150A2DBC" w:rsidR="0068716A" w:rsidRPr="00F7542B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F7542B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71F8DB4" w14:textId="45A5A01B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F7542B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F7542B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F7542B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A97C5BB" w14:textId="75F94852" w:rsidR="00636B26" w:rsidRPr="00F7542B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F7542B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F7542B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64A3769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65C2A7CD" w14:textId="77777777" w:rsidR="005D5538" w:rsidRPr="00F7542B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the SAP.</w:t>
            </w:r>
          </w:p>
          <w:p w14:paraId="249B4D2E" w14:textId="402A85A1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BA3C910" w:rsidR="009702AE" w:rsidRPr="008E0525" w:rsidRDefault="009874C7" w:rsidP="00D560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5601A" w:rsidRPr="008E052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BF30DE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25074C09" w:rsidR="00BF30DE" w:rsidRPr="008E0525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(RIMT)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E052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E0525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E0525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(ROFs),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8E052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23FCB8EF" w14:textId="12EB2485" w:rsidR="001C624F" w:rsidRPr="008E0525" w:rsidRDefault="001C624F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DSWD-FO </w:t>
            </w:r>
            <w:r w:rsidR="00D5601A" w:rsidRPr="008E0525">
              <w:rPr>
                <w:rFonts w:ascii="Arial" w:eastAsia="Arial" w:hAnsi="Arial" w:cs="Arial"/>
                <w:sz w:val="20"/>
                <w:szCs w:val="19"/>
              </w:rPr>
              <w:t>I prepared and planned for the Hatid Tulong Initiative.</w:t>
            </w:r>
          </w:p>
          <w:p w14:paraId="38458557" w14:textId="3FB4BF35" w:rsidR="004C68DD" w:rsidRPr="008E0525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1C624F" w:rsidRPr="008E052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5601A" w:rsidRPr="008E0525">
              <w:rPr>
                <w:rFonts w:ascii="Arial" w:eastAsia="Arial" w:hAnsi="Arial" w:cs="Arial"/>
                <w:b/>
                <w:sz w:val="20"/>
                <w:szCs w:val="19"/>
              </w:rPr>
              <w:t>21</w:t>
            </w:r>
            <w:r w:rsidR="006E61A6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8E0525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F2D956E" w14:textId="5A65E28F" w:rsidR="00BF30DE" w:rsidRPr="008E0525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A441A5B" w14:textId="3179725D" w:rsidR="0099583F" w:rsidRPr="008E0525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On 2</w:t>
            </w:r>
            <w:r w:rsidR="00D5601A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5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July 2020, </w:t>
            </w:r>
            <w:r w:rsidR="0099583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DSWD-FO I Responsible Official (RO) Marcelo Nicomed</w:t>
            </w:r>
            <w:r w:rsidR="00831096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es J. Castillo </w:t>
            </w:r>
            <w:r w:rsidR="0099583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and 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other DSWD RDs</w:t>
            </w:r>
            <w:r w:rsidR="00831096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participated in a meeting with the </w:t>
            </w:r>
            <w:r w:rsidR="00D5601A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financial service providers (FSPs) relative to the digital payment</w:t>
            </w:r>
            <w:r w:rsidR="002F7FC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for the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SAP 2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nd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tranche</w:t>
            </w:r>
            <w:r w:rsidR="0099583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4C2F4E40" w14:textId="63DAC3D9" w:rsidR="00D5601A" w:rsidRPr="008E0525" w:rsidRDefault="00D5601A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Following the meeting with the FSPs, RD Castillo and other DSWD RDs participated in a video conference with DSWD Secretary Rolando Joselito D. Bautista, and other members of </w:t>
            </w:r>
            <w:r w:rsidR="00D31DA4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 Executive and Management Committees, relative to updates on payout to waitlisted and 2</w:t>
            </w:r>
            <w:r w:rsidR="00D31DA4" w:rsidRPr="008E052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nd</w:t>
            </w:r>
            <w:r w:rsidR="00D31DA4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tranche beneficiaries towards meeting the goal of 80 due on 30 July 2020. Directives from the Secretary were also provided during the video conference.</w:t>
            </w:r>
          </w:p>
          <w:p w14:paraId="10D17192" w14:textId="4B3EC2BB" w:rsidR="009D1839" w:rsidRPr="008E0525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>4,274,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792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E61A6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777,2</w:t>
            </w:r>
            <w:r w:rsidR="00831096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35</w:t>
            </w:r>
            <w:r w:rsidR="006E61A6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8E0525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E0525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Pamilya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63ADADE3" w14:textId="7CEC6A9A" w:rsidR="006C3F0B" w:rsidRPr="008E0525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13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F7FCF" w:rsidRPr="008E052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31DA4" w:rsidRPr="008E0525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31DA4" w:rsidRPr="008E0525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E61A6" w:rsidRPr="008E052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4C7" w:rsidRPr="008E052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874C7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31DA4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60 </w:t>
            </w:r>
            <w:r w:rsidR="00174EA5" w:rsidRPr="008E0525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8E0525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8E0525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3AD31591" w14:textId="6DE6F568" w:rsidR="00234E36" w:rsidRPr="008E0525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8E0525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1A8EB753" w14:textId="27A718F2" w:rsidR="007E684E" w:rsidRPr="008E0525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lastRenderedPageBreak/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8E0525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8E0525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4CFE0E70" w:rsidR="00CA3CA7" w:rsidRPr="0058347E" w:rsidRDefault="009E4A4D" w:rsidP="005834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58347E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6D77BBAA" w:rsidR="00CA3CA7" w:rsidRPr="0058347E" w:rsidRDefault="00CA3CA7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690CD2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E4A4D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BE0BDD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8347E"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11,59</w:t>
            </w:r>
            <w:r w:rsid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8347E" w:rsidRPr="005834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36,625,780.00</w:t>
            </w:r>
            <w:r w:rsidR="0022356B" w:rsidRPr="005834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3C240A5A" w14:textId="22A318F4" w:rsidR="00BE0BDD" w:rsidRPr="0058347E" w:rsidRDefault="00BE0BDD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II provided</w:t>
            </w:r>
            <w:r w:rsidR="0058347E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100 FFPs to Diffun, Quirino amounting to ₱44,817.00 where priority will be given to those Locally Stranded Individuals due to CoViD-19.</w:t>
            </w:r>
          </w:p>
          <w:p w14:paraId="018733CE" w14:textId="152915CA" w:rsidR="009E4A4D" w:rsidRPr="0058347E" w:rsidRDefault="00CA3CA7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(RROS)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ensures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NFIs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given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time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need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arises.</w:t>
            </w:r>
          </w:p>
          <w:p w14:paraId="6435A339" w14:textId="77777777" w:rsidR="0022356B" w:rsidRPr="0058347E" w:rsidRDefault="0022356B" w:rsidP="0058347E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8958B2" w14:textId="10E55271" w:rsidR="00CA3CA7" w:rsidRPr="0058347E" w:rsidRDefault="00CA3CA7" w:rsidP="0058347E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10A5D6C" w14:textId="77777777" w:rsidR="0058347E" w:rsidRPr="0058347E" w:rsidRDefault="0058347E" w:rsidP="0058347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 OIC-Assistant Regional Director for Operations, Ms. Lucia S. Alan, conducted strategic meeting with the Area Coordinators of Starpay together with the FO key staff relative to the process of pay-out for the waitlisted SAP beneficiaries.</w:t>
            </w:r>
          </w:p>
          <w:p w14:paraId="2E9419DC" w14:textId="53A0C693" w:rsidR="0058347E" w:rsidRPr="0058347E" w:rsidRDefault="0058347E" w:rsidP="0058347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DRMD OIC Chief Mr. Marciano D. Dameg attended the Cagayan Valley Regional Task Force Meeting on CoViD-19 relative to the updates on Locally Stranded Individuals (LSIs) and other concerns pertaining to health emergency situation.</w:t>
            </w:r>
          </w:p>
          <w:p w14:paraId="26CF1070" w14:textId="0AA63C02" w:rsidR="0058347E" w:rsidRPr="0058347E" w:rsidRDefault="0058347E" w:rsidP="0058347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Immediate provision of relief assistance as augmentation support to LGUs upon receipt of request.</w:t>
            </w:r>
          </w:p>
          <w:p w14:paraId="37070C29" w14:textId="4AC947AA" w:rsidR="00373D02" w:rsidRPr="0058347E" w:rsidRDefault="00373D02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There are </w:t>
            </w:r>
            <w:r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₱3,141,033,500.00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6615BEA0" w:rsidR="009E4A4D" w:rsidRPr="0058347E" w:rsidRDefault="009E4A4D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To date, there are </w:t>
            </w:r>
            <w:r w:rsidR="0058347E" w:rsidRPr="0058347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8,985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left-out families who received SAP emergency subsidy</w:t>
            </w:r>
            <w:r w:rsidR="0022356B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with a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total of </w:t>
            </w:r>
            <w:r w:rsidRPr="005834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8347E" w:rsidRPr="005834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49,417,500.00</w:t>
            </w:r>
            <w:r w:rsidR="0022356B" w:rsidRPr="005834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5490F0A4" w14:textId="6A67FC17" w:rsidR="0022356B" w:rsidRPr="0058347E" w:rsidRDefault="0022356B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 monit</w:t>
            </w:r>
            <w:r w:rsidR="00BE0BDD"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oring of the ongoing onsite pay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out for the waitlisted SAP beneficiaries to ensure eligibility of beneficiaries and observance on implementation of public health protocols.</w:t>
            </w:r>
          </w:p>
          <w:p w14:paraId="4BCCAF0A" w14:textId="7BC0F39D" w:rsidR="0022356B" w:rsidRPr="0058347E" w:rsidRDefault="0022356B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58347E" w:rsidRDefault="00CA3CA7" w:rsidP="005834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</w:t>
            </w:r>
            <w:r w:rsidR="003B45E7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ous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encoding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IATF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SAC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forms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using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template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Central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58347E" w:rsidRDefault="00CA3CA7" w:rsidP="0058347E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Deduplication,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sanitizing</w:t>
            </w:r>
            <w:r w:rsidR="003B45E7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,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uploading</w:t>
            </w:r>
            <w:r w:rsidR="003B45E7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, and payroll generation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done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Information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Technology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names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submitted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LGUs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preparation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payment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waitlisted/left-out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8347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35D4BEBE" w:rsidR="009702AE" w:rsidRPr="00206DB4" w:rsidRDefault="00200F79" w:rsidP="00777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206DB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206DB4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0F90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11,701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walk-in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0F90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E5D97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D0F90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49,411,</w:t>
            </w:r>
            <w:r w:rsidR="00B40FAF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0D0F90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40FAF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0D0F90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.17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FB0DFBD" w14:textId="399F8B02" w:rsidR="00FD28D2" w:rsidRPr="00206DB4" w:rsidRDefault="00FD28D2" w:rsidP="00206DB4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97A0E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B23A2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C97A0E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06DB4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497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DB4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268,437,000.00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3A2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206DB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53D087D2" w14:textId="0BD88654" w:rsidR="009702AE" w:rsidRPr="00206DB4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Sen.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Manny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Pacquiao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municipalities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Bulacan.</w:t>
            </w:r>
          </w:p>
          <w:p w14:paraId="01F777BB" w14:textId="280CD43E" w:rsidR="009702AE" w:rsidRPr="00206DB4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0DB8FEC1" w14:textId="5E2CD200" w:rsidR="009702AE" w:rsidRPr="00206DB4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stakeholders.</w:t>
            </w:r>
          </w:p>
          <w:p w14:paraId="0D11DFFA" w14:textId="77777777" w:rsidR="00866667" w:rsidRPr="00206DB4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01CA243C" w14:textId="65F37C95" w:rsidR="009702AE" w:rsidRPr="00206DB4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F6DB11C" w14:textId="2D9C7A41" w:rsidR="009702AE" w:rsidRPr="00206DB4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="00C4334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1,504,018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E0E89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9,776,117,000.00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85F75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294,</w:t>
            </w:r>
            <w:r w:rsidR="00825242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C6DC7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83533F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CCT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(4Ps)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3533F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1,514,996,100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62A1F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62A1F" w:rsidRPr="00206DB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  <w:p w14:paraId="296F2CC8" w14:textId="102DE149" w:rsidR="00062A1F" w:rsidRPr="00206DB4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28D2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282,6</w:t>
            </w:r>
            <w:r w:rsidR="00200F79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D28D2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1,455,</w:t>
            </w:r>
            <w:r w:rsidR="00200F79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750</w:t>
            </w:r>
            <w:r w:rsidR="00FD28D2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00F79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BE7073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FD28D2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9266CC" w:rsidRPr="00206DB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DB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DBB0AB1" w:rsidR="009702AE" w:rsidRPr="00170471" w:rsidRDefault="00170471" w:rsidP="0017047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27 </w:t>
            </w:r>
            <w:r w:rsidR="0083677B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4F88CCE4" w:rsidR="00AD4EA3" w:rsidRPr="00170471" w:rsidRDefault="00AD4EA3" w:rsidP="00B5080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coordinated with the Department of the Interior and Local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Government (DILG) IV-A and LGU Lopez, Quezon for the identification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of COVID-19 Pandemic affected poor families’ in conflict-affected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barangays in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Lopez, Quezon.</w:t>
            </w:r>
          </w:p>
          <w:p w14:paraId="3942F420" w14:textId="55B7DA78" w:rsidR="00AD4EA3" w:rsidRPr="00170471" w:rsidRDefault="00AD4EA3" w:rsidP="00B5080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the MSWDO of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Victoria, Laguna for the logistical and administrative arrangements for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the relief distribution to 236 Persons with Disabilities (PWDs) in their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municipality.</w:t>
            </w:r>
          </w:p>
          <w:p w14:paraId="55943EA4" w14:textId="5E1785BF" w:rsidR="00AD4EA3" w:rsidRPr="00170471" w:rsidRDefault="006D4A00" w:rsidP="00B5080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as member of the Field Office Occupational Safety and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Health Committee prepared safety and 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security checklist for personnel </w:t>
            </w:r>
            <w:r w:rsidR="00170471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who will be deployed in</w:t>
            </w:r>
            <w:r w:rsidR="00B50800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with reported COVID-19 cases.</w:t>
            </w:r>
          </w:p>
          <w:p w14:paraId="0790746F" w14:textId="744F40A8" w:rsidR="00170471" w:rsidRPr="00170471" w:rsidRDefault="00170471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Two (2) personnel from the DRMD attended the Incident Command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System (ICS) Executive Course for member agencies of the Regional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Task Force against COVID-19.</w:t>
            </w:r>
          </w:p>
          <w:p w14:paraId="1F705D5A" w14:textId="06911F87" w:rsidR="00170471" w:rsidRPr="00170471" w:rsidRDefault="00170471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mobilized eight (8) community volunteers for the production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of Family Food Packs in DSWD FO IV-A Warehouse in GMA. Cavite.</w:t>
            </w:r>
          </w:p>
          <w:p w14:paraId="6EDFA00B" w14:textId="68B8EE01" w:rsidR="00170471" w:rsidRPr="00170471" w:rsidRDefault="00170471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has received 191 request for augmentation of Food and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 Items (NFIs) from LGUs and CSOs, 179 (96%) were either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 with NFIs or referred to other DSWDs programs, 7 (3%) are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currently being reviewed and assessed, and 5 (3%) of the requesting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party could no longer be contacted.</w:t>
            </w:r>
          </w:p>
          <w:p w14:paraId="72C50F90" w14:textId="5CD325BB" w:rsidR="00950982" w:rsidRPr="00170471" w:rsidRDefault="00950982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continues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F2C76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70471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27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70471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43,033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70471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123,029,553.58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B5B70C5" w14:textId="412AAE3C" w:rsidR="00170471" w:rsidRPr="00170471" w:rsidRDefault="00170471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Six (6) personnel from the DRMD were deployed to Rizal Memorial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Sports Complex on July 25, 2020 to assist in the Hatid Tulong for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locally-stranded individuals (LSIs).</w:t>
            </w:r>
          </w:p>
          <w:p w14:paraId="6F79444E" w14:textId="5FA91314" w:rsidR="00BC3B22" w:rsidRPr="00170471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170471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170471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630FB873" w:rsidR="009702AE" w:rsidRPr="00170471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2097C30" w14:textId="1BE16D00" w:rsidR="00126680" w:rsidRPr="00170471" w:rsidRDefault="00126680" w:rsidP="0017047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number of families encoded in the Social Amelioration Card Encoding Application is now </w:t>
            </w:r>
            <w:r w:rsidR="00170471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1,857,650 (96.63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%) in 142 LGUs which is based on the actual target of the FO.</w:t>
            </w:r>
          </w:p>
          <w:p w14:paraId="41A4C48C" w14:textId="714C8CC7" w:rsidR="00CF6D07" w:rsidRPr="00170471" w:rsidRDefault="00CF6D07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were </w:t>
            </w:r>
            <w:r w:rsidR="00170471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9,141 (1.50%)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families served through the FO’s direct cash payment (small pay-outs) with a total amount of subsidy worth </w:t>
            </w:r>
            <w:r w:rsidR="00126680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70471" w:rsidRPr="001704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59,416,500.00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. These beneficiaries were from Geographically Isolated and Disadvantaged (GID</w:t>
            </w:r>
            <w:r w:rsidR="00170471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) barangays in Batangas, Quezon, Rizal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Laguna. </w:t>
            </w:r>
          </w:p>
          <w:p w14:paraId="4590C595" w14:textId="59BD13B2" w:rsidR="001D58DD" w:rsidRPr="00170471" w:rsidRDefault="007E36A1" w:rsidP="00170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client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0807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0807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70471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61,278</w:t>
            </w:r>
            <w:r w:rsidR="00CF6D07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complaints,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referrals,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various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sources.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this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number,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70471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61,181 or 99.84%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0471">
              <w:rPr>
                <w:rFonts w:ascii="Arial" w:eastAsia="Arial" w:hAnsi="Arial" w:cs="Arial"/>
                <w:color w:val="0070C0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2D62C5EB" w:rsidR="009702AE" w:rsidRPr="00967CA1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85F1B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17DCC5D7" w:rsidR="009702AE" w:rsidRPr="00967CA1" w:rsidRDefault="003E4C18" w:rsidP="00967C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01DBB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967CA1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74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67CA1" w:rsidRPr="00967C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573,300.00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423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01DBB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967CA1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displaced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workers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and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persons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B141A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ntervention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B141A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B141A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B141A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B141A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7CA1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27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710EE058" w14:textId="1D704FED" w:rsidR="009702AE" w:rsidRPr="00967CA1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P/C/MLGUs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SWADT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</w:p>
          <w:p w14:paraId="62C18F45" w14:textId="7A117126" w:rsidR="009702AE" w:rsidRPr="00967CA1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joins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weekly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(RIATF)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video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conference.</w:t>
            </w:r>
          </w:p>
          <w:p w14:paraId="36A23B49" w14:textId="51E3F418" w:rsidR="009702AE" w:rsidRPr="00967CA1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fleet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vehicles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land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assets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  <w:p w14:paraId="278E13EB" w14:textId="1E59FDF7" w:rsidR="009702AE" w:rsidRPr="00967CA1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entire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R/P/C/M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QRT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P/C/MSWDOs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9266CC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67CA1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agencies.</w:t>
            </w:r>
          </w:p>
        </w:tc>
      </w:tr>
    </w:tbl>
    <w:p w14:paraId="10271D99" w14:textId="1E68FDD9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7159D3DB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84731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0ECC804" w:rsidR="009702AE" w:rsidRPr="00CA3FCD" w:rsidRDefault="00CC0911" w:rsidP="0013706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5711A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2E8B9304" w:rsidR="00CA3CA7" w:rsidRPr="00CA3FCD" w:rsidRDefault="009015AD" w:rsidP="00001094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35FB2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37061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001094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69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37061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35FB2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99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.4</w:t>
            </w:r>
            <w:r w:rsidR="00D35FB2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D35FB2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37061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104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under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114F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37061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6363DD52" w14:textId="77777777" w:rsidR="00D00D84" w:rsidRPr="00CA3FCD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8C29B41" w14:textId="6E424B26" w:rsidR="009702AE" w:rsidRPr="00CA3FCD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8D0219D" w14:textId="59D6AC39" w:rsidR="009015AD" w:rsidRPr="00CA3FCD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321,830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ab/>
              <w:t>Pantawid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A3FCD">
              <w:rPr>
                <w:color w:val="0070C0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1,496,509,500.00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1,132,249</w:t>
            </w:r>
            <w:r w:rsidR="009266CC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A3FCD">
              <w:rPr>
                <w:color w:val="0070C0"/>
              </w:rPr>
              <w:t xml:space="preserve"> </w:t>
            </w:r>
            <w:r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₱6,793,494,000.00</w:t>
            </w:r>
            <w:r w:rsidR="009266CC" w:rsidRPr="00CA3FC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35FB2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for the 1</w:t>
            </w:r>
            <w:r w:rsidR="00D35FB2" w:rsidRPr="00CA3FCD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D35FB2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</w:t>
            </w:r>
            <w:r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CA3FC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198736A5" w14:textId="15F3D594" w:rsidR="00D35FB2" w:rsidRPr="00CA3FCD" w:rsidRDefault="00D35FB2" w:rsidP="00CA3FCD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DSWD-FO VI has served 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103,608 Pantawid Pamilya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₱482,869,950.00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CC0911"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and </w:t>
            </w:r>
            <w:r w:rsidR="00CA3FCD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90,616 </w:t>
            </w:r>
            <w:r w:rsidR="00CC0911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Non-Pantawid Pamilya </w:t>
            </w:r>
            <w:r w:rsidR="00CC0911"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beneficiaries amounting to </w:t>
            </w:r>
            <w:r w:rsidR="00CC0911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CA3FCD" w:rsidRPr="00CA3FCD">
              <w:rPr>
                <w:color w:val="0070C0"/>
              </w:rPr>
              <w:t xml:space="preserve"> </w:t>
            </w:r>
            <w:r w:rsidR="00CA3FCD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₱543,696,000.00 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for the 2nd tranche and 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24,</w:t>
            </w:r>
            <w:r w:rsidR="00137061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984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left-out/waitlisted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₱14</w:t>
            </w:r>
            <w:r w:rsidR="00137061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37061"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904</w:t>
            </w:r>
            <w:r w:rsidRPr="00CA3FC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  <w:p w14:paraId="0CE181E9" w14:textId="658627B1" w:rsidR="00CA3FCD" w:rsidRPr="00CA3FCD" w:rsidRDefault="00CA3FCD" w:rsidP="00CA3FCD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SAP aid simultaneous payouts for 2nd tranche in Barangays of Iloilo City started today, July 26 and continued payouts in municipalities in Iloilo Province and Barangays in Bacolod City.</w:t>
            </w:r>
          </w:p>
          <w:p w14:paraId="66ADAB0F" w14:textId="4BC4F665" w:rsidR="00CA3FCD" w:rsidRPr="00CA3FCD" w:rsidRDefault="00CA3FCD" w:rsidP="00CA3FCD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Ms.  Rosalyn Patriaca, DRMD SWO III joined the simulation exercises with Regional Incident Management Team in preparation for the arrival of LSIs in Iloilo on July 28, 2020 from Manila.      </w:t>
            </w:r>
          </w:p>
          <w:p w14:paraId="7C31C1C1" w14:textId="6F46DEE2" w:rsidR="00C71305" w:rsidRPr="00CA3FCD" w:rsidRDefault="00C71305" w:rsidP="00CA3FCD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The Operation Center Hotline has catered a total of </w:t>
            </w:r>
            <w:r w:rsidR="00137061"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15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calls; of which, </w:t>
            </w:r>
            <w:r w:rsidR="00137061"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8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</w:t>
            </w:r>
            <w:r w:rsidR="00A41C87"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l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 were resolved</w:t>
            </w:r>
            <w:r w:rsidR="00137061"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and 7 for validation</w:t>
            </w:r>
            <w:r w:rsidRPr="00CA3FC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</w:tc>
      </w:tr>
    </w:tbl>
    <w:p w14:paraId="39478735" w14:textId="77777777" w:rsidR="002D6AC8" w:rsidRDefault="002D6AC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CFF4D5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E96E40E" w:rsidR="009702AE" w:rsidRPr="003F0380" w:rsidRDefault="00764B6E" w:rsidP="00027A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3F038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D159687" w:rsidR="009702AE" w:rsidRPr="003F0380" w:rsidRDefault="003E4C18" w:rsidP="003F0380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0380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13,121</w:t>
            </w:r>
            <w:r w:rsid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27A74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</w:t>
            </w:r>
            <w:r w:rsidR="004E2DB6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500,0</w:t>
            </w:r>
            <w:r w:rsidR="004E2DB6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324C54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F038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An additional 60 indigent individuals from Cebu Ci</w:t>
            </w:r>
            <w:r w:rsid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ty North were given a total of </w:t>
            </w:r>
            <w:r w:rsidR="003F0380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038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120,000.00.</w:t>
            </w:r>
          </w:p>
          <w:p w14:paraId="558E8766" w14:textId="5A717741" w:rsidR="0004673A" w:rsidRPr="003F0380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two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sites/areas: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Negros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Oriental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Convention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Dauis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Gymnasium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Bohol.</w:t>
            </w:r>
          </w:p>
          <w:p w14:paraId="7227C480" w14:textId="77777777" w:rsidR="007C7B9C" w:rsidRPr="003F0380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6150D797" w:rsidR="009702AE" w:rsidRPr="003F0380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E151767" w14:textId="07C5945C" w:rsidR="003F0380" w:rsidRDefault="003F0380" w:rsidP="003F0380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total of 22,745 waitlisted household beneficiaries from 35 local government units in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Cebu, Siquijor and Negros Oriental have started to claim their P6,000 cash aid under the Social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Amelioration Program (SAP). Payouts in other areas are on-going.</w:t>
            </w:r>
          </w:p>
          <w:p w14:paraId="1E6C40F9" w14:textId="28365296" w:rsidR="004E2DB6" w:rsidRPr="003F0380" w:rsidRDefault="00997382" w:rsidP="00085F1B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Aside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waitlisted,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subsidy.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pay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Panta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wid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now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97.</w:t>
            </w:r>
            <w:r w:rsidR="00631D2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50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%.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least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2,</w:t>
            </w:r>
            <w:r w:rsid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021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non-cash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card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payouts,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,7</w:t>
            </w:r>
            <w:r w:rsidR="004E2DB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card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holders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ATMs.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085F1B" w:rsidRPr="00085F1B">
              <w:rPr>
                <w:rFonts w:ascii="Arial" w:eastAsia="Arial" w:hAnsi="Arial" w:cs="Arial"/>
                <w:color w:val="0070C0"/>
                <w:sz w:val="20"/>
                <w:szCs w:val="19"/>
              </w:rPr>
              <w:t>677,960,700.00</w:t>
            </w:r>
            <w:r w:rsidR="00085F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F2C76" w:rsidRPr="003F038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54A5EEAC" w14:textId="77777777" w:rsidR="00272BC6" w:rsidRDefault="00272BC6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72B37D5" w14:textId="77777777" w:rsidR="00272BC6" w:rsidRDefault="00272BC6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3910737C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11C76E30" w:rsidR="00E96404" w:rsidRPr="00884731" w:rsidRDefault="009A33A7" w:rsidP="00C30B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884731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DD34A0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4C1B5C1B" w14:textId="258D853F" w:rsidR="00875610" w:rsidRPr="00884731" w:rsidRDefault="00875610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Crisis Intervention Unit (CIU) was able to extend assistance to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</w:t>
            </w:r>
            <w:r w:rsidR="004F6EF8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672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walk-in clients amounting to a total of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₱51,</w:t>
            </w:r>
            <w:r w:rsidR="004F6EF8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979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4F6EF8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55.04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C8511DD" w14:textId="0606902D" w:rsidR="00E96404" w:rsidRPr="00884731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240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</w:t>
            </w:r>
            <w:r w:rsidR="00875610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9240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592</w:t>
            </w:r>
            <w:r w:rsidR="0019240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9240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875610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51</w:t>
            </w:r>
            <w:r w:rsidR="0019240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519</w:t>
            </w:r>
            <w:r w:rsidR="0019240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180B3DA1" w14:textId="12F5B8ED" w:rsidR="00E96404" w:rsidRPr="00884731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597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389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02480429" w14:textId="2CD53703" w:rsidR="00E96404" w:rsidRPr="00884731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884731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884731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0B81959" w14:textId="36DF7D2F" w:rsidR="00E96404" w:rsidRPr="00884731" w:rsidRDefault="00E96404" w:rsidP="00884731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88473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88473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88473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88473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88473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84731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1,295 </w:t>
            </w:r>
            <w:r w:rsidR="008C4AD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38D7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6A6292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A38D7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6A6292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00</w:t>
            </w:r>
            <w:r w:rsidR="00EA38D7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884731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84731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6,475,000.00</w:t>
            </w:r>
            <w:r w:rsidR="00810A2D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 </w:t>
            </w:r>
          </w:p>
          <w:p w14:paraId="71B14D09" w14:textId="6829A8BA" w:rsidR="00E96404" w:rsidRPr="00884731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21,143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₱77,17</w:t>
            </w:r>
            <w:r w:rsidR="001175D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175D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0.00.</w:t>
            </w:r>
          </w:p>
          <w:p w14:paraId="32DCABCB" w14:textId="27D88E9E" w:rsidR="00E96404" w:rsidRPr="00884731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126B4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6A6292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9266CC" w:rsidRPr="0088473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84731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4D3BCB0D" w:rsidR="009702AE" w:rsidRPr="001C65BB" w:rsidRDefault="004E029E" w:rsidP="001656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C65BB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1C65B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1C65B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1C65B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1C65B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D4DE93D" w14:textId="33B44D64" w:rsidR="00954075" w:rsidRPr="001C65BB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2709C235" w14:textId="157C2462" w:rsidR="00437225" w:rsidRPr="001C65BB" w:rsidRDefault="00437225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Continued payout for the Transitory Family Support Package for the Marawi Siege IDPs.</w:t>
            </w:r>
          </w:p>
          <w:p w14:paraId="69CB7198" w14:textId="77777777" w:rsidR="00AC2B59" w:rsidRPr="001C65BB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3CF4056D" w:rsidR="009702AE" w:rsidRPr="001C65BB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0326DC6A" w:rsidR="004E029E" w:rsidRPr="001C65BB" w:rsidRDefault="004E029E" w:rsidP="001C65BB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="001C65BB"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25,963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amounting to </w:t>
            </w:r>
            <w:r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1C65BB" w:rsidRPr="001C65B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155,778,000.00 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as of 2</w:t>
            </w:r>
            <w:r w:rsidR="001C65BB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1C65BB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Pr="001C65B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167186CA" w14:textId="2609C931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6506B156" w:rsidR="003F77F2" w:rsidRPr="00D102AD" w:rsidRDefault="003A4516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D102A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2B6CB6B4" w:rsidR="001B6553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24,432,559.35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4,304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t xml:space="preserve"> </w:t>
            </w:r>
          </w:p>
          <w:p w14:paraId="37980A0E" w14:textId="3AFED2DF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5CEC8722" w14:textId="77777777" w:rsidR="00C22B78" w:rsidRPr="00D102AD" w:rsidRDefault="00C22B78" w:rsidP="00DE62E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D102AD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5EE60B9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938E7DA" w14:textId="2C164E49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 FO XI has a target of 298, 043 for Davao City 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 xml:space="preserve"> tranche family beneficiaries target for payment and 103,432 additional households or waitlisted covering all cities and municipalities of the region.</w:t>
            </w:r>
          </w:p>
          <w:p w14:paraId="3570B40C" w14:textId="7777777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 distribution of ESP/SAP 2nd Tranche subsidy under left-out or waitlisted. category as well as for Davao City Pantawid households with ATM cash card. 6,188 out of the 103,432 target waitlisted beneficiaries were already provided with ESP/SAP subsidy.</w:t>
            </w:r>
          </w:p>
          <w:p w14:paraId="3A5747CB" w14:textId="2F4C515D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Non-Pantawid payroll list has been submitted for digital payment of ESP/SAP 2nd Tranche.</w:t>
            </w:r>
          </w:p>
          <w:p w14:paraId="6DD894CE" w14:textId="3A31D98A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10ECCC84" w14:textId="2BB77A4F" w:rsidR="00121937" w:rsidRPr="00D102AD" w:rsidRDefault="00121937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 total of 6,188 out of 103,432 or 5.98% families have received the SAP subsidy of Php ₱6,000.00 each. Hence, a total of ₱128,000.00 was already paid out.</w:t>
            </w:r>
          </w:p>
          <w:p w14:paraId="2902B583" w14:textId="7B4B4040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43D856F2" w14:textId="77777777" w:rsidR="00121937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1096B034" w14:textId="77777777" w:rsidR="002D6AC8" w:rsidRDefault="002D6AC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182CFA9A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132BDE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034FAFBE" w:rsidR="009702AE" w:rsidRPr="00B50800" w:rsidRDefault="00B50800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27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378E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B50800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Caraga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constant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relief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operations.</w:t>
            </w:r>
          </w:p>
          <w:p w14:paraId="62DC980E" w14:textId="77777777" w:rsidR="00B50800" w:rsidRDefault="00B50800" w:rsidP="00B5080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5</w:t>
            </w:r>
            <w:r w:rsidR="00A37702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,000 FFPs amounting to ₱1,025,940.00 are delivered today at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Butuan</w:t>
            </w:r>
            <w:r w:rsidR="00A37702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City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as additional augmentation assistance to families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 by commu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nity quarantine due to COVID-19.</w:t>
            </w:r>
          </w:p>
          <w:p w14:paraId="451726E0" w14:textId="678744A9" w:rsidR="00A659AE" w:rsidRPr="00B50800" w:rsidRDefault="00B50800" w:rsidP="00B5080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800 FFPs amounting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₱273,584.00 and 450 500mL bottled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water amounting to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₱3,564.00 are released today as augmentation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 to LSIs/ROFs.</w:t>
            </w:r>
          </w:p>
          <w:p w14:paraId="06888445" w14:textId="77777777" w:rsidR="00B50800" w:rsidRPr="00B50800" w:rsidRDefault="00B50800" w:rsidP="00B50800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4A7C7C35" w:rsidR="009702AE" w:rsidRPr="00B50800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3410BA93" w:rsidR="009702AE" w:rsidRPr="00B50800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305,096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E0E89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1,525,480,000.00.</w:t>
            </w:r>
          </w:p>
          <w:p w14:paraId="539BA321" w14:textId="17B2F7A3" w:rsidR="00AE0E89" w:rsidRPr="00B50800" w:rsidRDefault="00AE0E89" w:rsidP="00B5080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₱687,911,850.00;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thru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cash-cards;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7,796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thru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SDO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0800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7,796</w:t>
            </w:r>
            <w:r w:rsid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LGU/DOLE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TUPAD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77218FD" w14:textId="5C6B47F5" w:rsidR="009702AE" w:rsidRPr="00B50800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73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submitted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implementation.</w:t>
            </w:r>
          </w:p>
          <w:p w14:paraId="2F356F03" w14:textId="14601EF0" w:rsidR="009702AE" w:rsidRPr="00B50800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65</w:t>
            </w:r>
            <w:r w:rsidR="009266CC"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submitted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list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left-out/unserved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11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457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encoded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google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sheets.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rest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no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t/unserved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based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MC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No.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series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4A4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FF09C69" w14:textId="35C03C16" w:rsidR="009702AE" w:rsidRPr="00B50800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Caraga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cross-matching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data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73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consolidating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results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come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up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list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duplicate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56CDD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provided.</w:t>
            </w:r>
          </w:p>
          <w:p w14:paraId="3CAD2536" w14:textId="525E27C8" w:rsidR="009702AE" w:rsidRPr="00B50800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All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73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monitored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2E29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Caraga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Teams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proper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assessment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080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2CCBBE0F" w:rsidR="006F3B70" w:rsidRPr="00496EB6" w:rsidRDefault="00560E5A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JAN ERWIN ANDREW I. ONTANILLAS</w:t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D102A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LESLIE R. JAWILI </w:t>
      </w:r>
    </w:p>
    <w:p w14:paraId="4252FC78" w14:textId="6FA4C197" w:rsidR="008E0525" w:rsidRDefault="00560E5A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</w:p>
    <w:p w14:paraId="2A19BC22" w14:textId="126A361E" w:rsidR="005D5538" w:rsidRPr="00C30BFB" w:rsidRDefault="00560E5A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1E76A1CE" w14:textId="1E961DC6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1DCDC0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BBF9AD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7FF274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6BAAA22" w14:textId="417FFCDC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146B65" w14:textId="25ED05AB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0FF3D2D" w14:textId="5ABDD4D8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F9B5077" w14:textId="637A1646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DB577A9" w14:textId="0D123501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E882E2D" w14:textId="1A056744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C575FA9" w14:textId="7F7F9F1C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E07F380" w14:textId="14B6042F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5CB2B22" w14:textId="266F00C8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B7DB953" w14:textId="643B4C3F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1E90239" w14:textId="77777777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6CEF0B" w14:textId="77777777" w:rsidR="002D6AC8" w:rsidRDefault="002D6AC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1A89C1D" w14:textId="77777777" w:rsidR="002D6AC8" w:rsidRDefault="002D6AC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F628C4" w14:textId="77777777" w:rsidR="00E97EAD" w:rsidRDefault="00E97EA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2499D5" w14:textId="77777777" w:rsidR="00E97EAD" w:rsidRDefault="00E97EA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1237654" w14:textId="77777777" w:rsidR="00E97EAD" w:rsidRDefault="00E97EA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1FDBEAE" w14:textId="77777777" w:rsidR="00E97EAD" w:rsidRDefault="00E97EA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74D8B0" w14:textId="420F23B4" w:rsidR="009C5BC5" w:rsidRDefault="003E4C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01B25F0A" w:rsidR="00A65B2B" w:rsidRDefault="00E97EA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5FBC8C23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CB3A" w14:textId="77777777" w:rsidR="004E32ED" w:rsidRDefault="004E32ED">
      <w:pPr>
        <w:spacing w:after="0" w:line="240" w:lineRule="auto"/>
      </w:pPr>
      <w:r>
        <w:separator/>
      </w:r>
    </w:p>
  </w:endnote>
  <w:endnote w:type="continuationSeparator" w:id="0">
    <w:p w14:paraId="393DCB17" w14:textId="77777777" w:rsidR="004E32ED" w:rsidRDefault="004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206DB4" w:rsidRDefault="00206DB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206DB4" w:rsidRDefault="00206DB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B20F24A" w:rsidR="00206DB4" w:rsidRDefault="00206DB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72BC6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72BC6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#245 on the Coronavirus Disease (COVID19) as of 28 July 2020, 6AM</w:t>
    </w:r>
  </w:p>
  <w:p w14:paraId="2B859230" w14:textId="77777777" w:rsidR="00206DB4" w:rsidRDefault="00206DB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206DB4" w:rsidRDefault="00206DB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A7F4" w14:textId="77777777" w:rsidR="004E32ED" w:rsidRDefault="004E32ED">
      <w:pPr>
        <w:spacing w:after="0" w:line="240" w:lineRule="auto"/>
      </w:pPr>
      <w:r>
        <w:separator/>
      </w:r>
    </w:p>
  </w:footnote>
  <w:footnote w:type="continuationSeparator" w:id="0">
    <w:p w14:paraId="2A449AF3" w14:textId="77777777" w:rsidR="004E32ED" w:rsidRDefault="004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206DB4" w:rsidRDefault="00206DB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206DB4" w:rsidRDefault="00206DB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206DB4" w:rsidRDefault="00206DB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206DB4" w:rsidRDefault="00206DB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206DB4" w:rsidRDefault="00206DB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07C2"/>
    <w:multiLevelType w:val="hybridMultilevel"/>
    <w:tmpl w:val="19F29E42"/>
    <w:lvl w:ilvl="0" w:tplc="50B0CB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D6805"/>
    <w:multiLevelType w:val="hybridMultilevel"/>
    <w:tmpl w:val="67EADA8E"/>
    <w:lvl w:ilvl="0" w:tplc="30A22F9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6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33"/>
  </w:num>
  <w:num w:numId="5">
    <w:abstractNumId w:val="44"/>
  </w:num>
  <w:num w:numId="6">
    <w:abstractNumId w:val="17"/>
  </w:num>
  <w:num w:numId="7">
    <w:abstractNumId w:val="2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4"/>
  </w:num>
  <w:num w:numId="13">
    <w:abstractNumId w:val="30"/>
  </w:num>
  <w:num w:numId="14">
    <w:abstractNumId w:val="25"/>
  </w:num>
  <w:num w:numId="15">
    <w:abstractNumId w:val="32"/>
  </w:num>
  <w:num w:numId="16">
    <w:abstractNumId w:val="39"/>
  </w:num>
  <w:num w:numId="17">
    <w:abstractNumId w:val="42"/>
  </w:num>
  <w:num w:numId="18">
    <w:abstractNumId w:val="3"/>
  </w:num>
  <w:num w:numId="19">
    <w:abstractNumId w:val="38"/>
  </w:num>
  <w:num w:numId="20">
    <w:abstractNumId w:val="29"/>
  </w:num>
  <w:num w:numId="21">
    <w:abstractNumId w:val="23"/>
  </w:num>
  <w:num w:numId="22">
    <w:abstractNumId w:val="19"/>
  </w:num>
  <w:num w:numId="23">
    <w:abstractNumId w:val="2"/>
  </w:num>
  <w:num w:numId="24">
    <w:abstractNumId w:val="41"/>
  </w:num>
  <w:num w:numId="25">
    <w:abstractNumId w:val="8"/>
  </w:num>
  <w:num w:numId="26">
    <w:abstractNumId w:val="43"/>
  </w:num>
  <w:num w:numId="27">
    <w:abstractNumId w:val="40"/>
  </w:num>
  <w:num w:numId="28">
    <w:abstractNumId w:val="24"/>
  </w:num>
  <w:num w:numId="29">
    <w:abstractNumId w:val="6"/>
  </w:num>
  <w:num w:numId="30">
    <w:abstractNumId w:val="20"/>
  </w:num>
  <w:num w:numId="31">
    <w:abstractNumId w:val="26"/>
  </w:num>
  <w:num w:numId="32">
    <w:abstractNumId w:val="1"/>
  </w:num>
  <w:num w:numId="33">
    <w:abstractNumId w:val="18"/>
  </w:num>
  <w:num w:numId="34">
    <w:abstractNumId w:val="22"/>
  </w:num>
  <w:num w:numId="35">
    <w:abstractNumId w:val="5"/>
  </w:num>
  <w:num w:numId="36">
    <w:abstractNumId w:val="9"/>
  </w:num>
  <w:num w:numId="37">
    <w:abstractNumId w:val="11"/>
  </w:num>
  <w:num w:numId="38">
    <w:abstractNumId w:val="12"/>
  </w:num>
  <w:num w:numId="39">
    <w:abstractNumId w:val="0"/>
  </w:num>
  <w:num w:numId="40">
    <w:abstractNumId w:val="37"/>
  </w:num>
  <w:num w:numId="41">
    <w:abstractNumId w:val="35"/>
  </w:num>
  <w:num w:numId="42">
    <w:abstractNumId w:val="13"/>
  </w:num>
  <w:num w:numId="43">
    <w:abstractNumId w:val="7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B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06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63B"/>
    <w:rsid w:val="00165CE5"/>
    <w:rsid w:val="00165EC5"/>
    <w:rsid w:val="00165F3C"/>
    <w:rsid w:val="00165F51"/>
    <w:rsid w:val="0016648B"/>
    <w:rsid w:val="00166D1D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53D4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FAC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3D0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1A94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5C87"/>
    <w:rsid w:val="00216DAA"/>
    <w:rsid w:val="002178CA"/>
    <w:rsid w:val="00217A19"/>
    <w:rsid w:val="00222006"/>
    <w:rsid w:val="002227EE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2BC6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213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380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02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56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2ED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367C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0E5A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47E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28DB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C14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096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67CA1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5BC5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6E78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800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0BFB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3FCD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0911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01A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2DC0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97EAD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5C3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42B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8A9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986C118-93C7-4E18-8F57-8C810E0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15581</Words>
  <Characters>88816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2020-07-27T11:38:00Z</dcterms:created>
  <dcterms:modified xsi:type="dcterms:W3CDTF">2020-07-27T11:38:00Z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