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7C04" w:rsidRDefault="00557C5F" w:rsidP="00557D3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#1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the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Displacement</w:t>
      </w:r>
    </w:p>
    <w:p w:rsidR="003E6D21" w:rsidRDefault="00B93115" w:rsidP="00557D3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37C04">
        <w:rPr>
          <w:rFonts w:ascii="Arial" w:eastAsia="Arial" w:hAnsi="Arial" w:cs="Arial"/>
          <w:b/>
          <w:sz w:val="32"/>
          <w:szCs w:val="24"/>
        </w:rPr>
        <w:t xml:space="preserve">Due </w:t>
      </w:r>
      <w:r w:rsidR="00E37C04" w:rsidRPr="00E37C04">
        <w:rPr>
          <w:rFonts w:ascii="Arial" w:eastAsia="Arial" w:hAnsi="Arial" w:cs="Arial"/>
          <w:b/>
          <w:sz w:val="32"/>
          <w:szCs w:val="24"/>
        </w:rPr>
        <w:t>to</w:t>
      </w:r>
      <w:r w:rsidR="00E37C04">
        <w:rPr>
          <w:rFonts w:ascii="Arial" w:eastAsia="Arial" w:hAnsi="Arial" w:cs="Arial"/>
          <w:b/>
          <w:sz w:val="32"/>
          <w:szCs w:val="24"/>
        </w:rPr>
        <w:t xml:space="preserve"> </w:t>
      </w:r>
      <w:r w:rsidRPr="00E37C04">
        <w:rPr>
          <w:rFonts w:ascii="Arial" w:eastAsia="Arial" w:hAnsi="Arial" w:cs="Arial"/>
          <w:b/>
          <w:sz w:val="32"/>
          <w:szCs w:val="24"/>
        </w:rPr>
        <w:t xml:space="preserve">Presence </w:t>
      </w:r>
      <w:r w:rsidR="00E37C04" w:rsidRPr="00E37C04">
        <w:rPr>
          <w:rFonts w:ascii="Arial" w:eastAsia="Arial" w:hAnsi="Arial" w:cs="Arial"/>
          <w:b/>
          <w:sz w:val="32"/>
          <w:szCs w:val="24"/>
        </w:rPr>
        <w:t>of Armed Lawless Elements</w:t>
      </w:r>
      <w:r w:rsidR="00E37C04">
        <w:rPr>
          <w:rFonts w:ascii="Arial" w:eastAsia="Arial" w:hAnsi="Arial" w:cs="Arial"/>
          <w:b/>
          <w:sz w:val="32"/>
          <w:szCs w:val="24"/>
        </w:rPr>
        <w:t xml:space="preserve"> </w:t>
      </w:r>
      <w:r w:rsidR="00C670C1" w:rsidRPr="00AE4967">
        <w:rPr>
          <w:rFonts w:ascii="Arial" w:eastAsia="Arial" w:hAnsi="Arial" w:cs="Arial"/>
          <w:b/>
          <w:sz w:val="32"/>
          <w:szCs w:val="24"/>
        </w:rPr>
        <w:t>in</w:t>
      </w:r>
    </w:p>
    <w:p w:rsidR="00470FE4" w:rsidRPr="00AE4967" w:rsidRDefault="00E37C04" w:rsidP="00557D3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E37C04">
        <w:rPr>
          <w:rFonts w:ascii="Arial" w:eastAsia="Arial" w:hAnsi="Arial" w:cs="Arial"/>
          <w:b/>
          <w:sz w:val="32"/>
          <w:szCs w:val="24"/>
        </w:rPr>
        <w:t>B</w:t>
      </w:r>
      <w:r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Pr="00E37C0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E37C04">
        <w:rPr>
          <w:rFonts w:ascii="Arial" w:eastAsia="Arial" w:hAnsi="Arial" w:cs="Arial"/>
          <w:b/>
          <w:sz w:val="32"/>
          <w:szCs w:val="24"/>
        </w:rPr>
        <w:t>Lum</w:t>
      </w:r>
      <w:r w:rsidR="003E6D21">
        <w:rPr>
          <w:rFonts w:ascii="Arial" w:eastAsia="Arial" w:hAnsi="Arial" w:cs="Arial"/>
          <w:b/>
          <w:sz w:val="32"/>
          <w:szCs w:val="24"/>
        </w:rPr>
        <w:t>akil</w:t>
      </w:r>
      <w:proofErr w:type="spellEnd"/>
      <w:r w:rsidR="003E6D2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E6D21">
        <w:rPr>
          <w:rFonts w:ascii="Arial" w:eastAsia="Arial" w:hAnsi="Arial" w:cs="Arial"/>
          <w:b/>
          <w:sz w:val="32"/>
          <w:szCs w:val="24"/>
        </w:rPr>
        <w:t>Polomolok</w:t>
      </w:r>
      <w:proofErr w:type="spellEnd"/>
      <w:r w:rsidR="003E6D21">
        <w:rPr>
          <w:rFonts w:ascii="Arial" w:eastAsia="Arial" w:hAnsi="Arial" w:cs="Arial"/>
          <w:b/>
          <w:sz w:val="32"/>
          <w:szCs w:val="24"/>
        </w:rPr>
        <w:t xml:space="preserve">, South </w:t>
      </w:r>
      <w:proofErr w:type="spellStart"/>
      <w:r w:rsidR="003E6D21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:rsidR="00470FE4" w:rsidRPr="00AE4967" w:rsidRDefault="00D26E8D" w:rsidP="00557D3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E37C04">
        <w:rPr>
          <w:rFonts w:ascii="Arial" w:eastAsia="Arial" w:hAnsi="Arial" w:cs="Arial"/>
          <w:sz w:val="24"/>
          <w:szCs w:val="24"/>
        </w:rPr>
        <w:t>19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C670C1" w:rsidRPr="00AE4967">
        <w:rPr>
          <w:rFonts w:ascii="Arial" w:eastAsia="Arial" w:hAnsi="Arial" w:cs="Arial"/>
          <w:sz w:val="24"/>
          <w:szCs w:val="24"/>
        </w:rPr>
        <w:t>August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E6D21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E37C04">
        <w:rPr>
          <w:rFonts w:ascii="Arial" w:eastAsia="Arial" w:hAnsi="Arial" w:cs="Arial"/>
          <w:sz w:val="24"/>
          <w:szCs w:val="24"/>
        </w:rPr>
        <w:t>6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</w:p>
    <w:p w:rsidR="00470FE4" w:rsidRPr="00AE4967" w:rsidRDefault="00470FE4" w:rsidP="00557D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557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jdgxs" w:colFirst="0" w:colLast="0"/>
      <w:bookmarkEnd w:id="0"/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557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4967" w:rsidRPr="00C97C69" w:rsidRDefault="00C670C1" w:rsidP="00557D3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2A03">
        <w:rPr>
          <w:rFonts w:ascii="Arial" w:eastAsia="Arial" w:hAnsi="Arial" w:cs="Arial"/>
          <w:color w:val="000000" w:themeColor="text1"/>
          <w:sz w:val="24"/>
          <w:szCs w:val="24"/>
        </w:rPr>
        <w:t>08 August 2020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the presence of alleged armed lawless elements at </w:t>
      </w:r>
      <w:proofErr w:type="spellStart"/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C97C69" w:rsidRP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97C69" w:rsidRPr="00C97C69">
        <w:rPr>
          <w:rFonts w:ascii="Arial" w:eastAsia="Arial" w:hAnsi="Arial" w:cs="Arial"/>
          <w:color w:val="000000" w:themeColor="text1"/>
          <w:sz w:val="24"/>
          <w:szCs w:val="24"/>
        </w:rPr>
        <w:t>Lum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>akil</w:t>
      </w:r>
      <w:proofErr w:type="spellEnd"/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>Polomolok</w:t>
      </w:r>
      <w:proofErr w:type="spellEnd"/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, South </w:t>
      </w:r>
      <w:proofErr w:type="spellStart"/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created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fear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among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residence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resulted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area.</w:t>
      </w:r>
    </w:p>
    <w:p w:rsidR="00C97C69" w:rsidRP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:rsidR="00557D3D" w:rsidRDefault="00557D3D" w:rsidP="00557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</w:p>
    <w:p w:rsidR="00470FE4" w:rsidRPr="00AE4967" w:rsidRDefault="00FC54C7" w:rsidP="00557D3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AE4967" w:rsidRDefault="00C97C69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124</w:t>
      </w:r>
      <w:r w:rsidR="00E04A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620</w:t>
      </w:r>
      <w:r w:rsidR="00E04A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were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affected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BB3E5B" w:rsidRPr="00AE4967">
        <w:rPr>
          <w:rFonts w:ascii="Arial" w:eastAsia="Arial" w:hAnsi="Arial" w:cs="Arial"/>
          <w:sz w:val="24"/>
          <w:szCs w:val="24"/>
        </w:rPr>
        <w:t>due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BB3E5B" w:rsidRPr="00AE4967">
        <w:rPr>
          <w:rFonts w:ascii="Arial" w:eastAsia="Arial" w:hAnsi="Arial" w:cs="Arial"/>
          <w:sz w:val="24"/>
          <w:szCs w:val="24"/>
        </w:rPr>
        <w:t>to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displacement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74289B" w:rsidRPr="00AE4967">
        <w:rPr>
          <w:rFonts w:ascii="Arial" w:eastAsia="Arial" w:hAnsi="Arial" w:cs="Arial"/>
          <w:sz w:val="24"/>
          <w:szCs w:val="24"/>
        </w:rPr>
        <w:t>in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>Lumakil</w:t>
      </w:r>
      <w:proofErr w:type="spellEnd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>Polomolok</w:t>
      </w:r>
      <w:proofErr w:type="spellEnd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 xml:space="preserve">, South </w:t>
      </w:r>
      <w:proofErr w:type="spellStart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Pr="00C97C6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C97C69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E4967">
        <w:rPr>
          <w:rFonts w:ascii="Arial" w:eastAsia="Arial" w:hAnsi="Arial" w:cs="Arial"/>
          <w:sz w:val="24"/>
          <w:szCs w:val="24"/>
        </w:rPr>
        <w:t>see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Table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AE4967">
        <w:rPr>
          <w:rFonts w:ascii="Arial" w:eastAsia="Arial" w:hAnsi="Arial" w:cs="Arial"/>
          <w:sz w:val="24"/>
          <w:szCs w:val="24"/>
        </w:rPr>
        <w:t>1).</w:t>
      </w:r>
    </w:p>
    <w:p w:rsidR="0074289B" w:rsidRPr="00AE4967" w:rsidRDefault="0074289B" w:rsidP="00557D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557D3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4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05"/>
        <w:gridCol w:w="1573"/>
        <w:gridCol w:w="1452"/>
        <w:gridCol w:w="1454"/>
      </w:tblGrid>
      <w:tr w:rsidR="002D2A03" w:rsidRPr="002D2A03" w:rsidTr="00557D3D">
        <w:trPr>
          <w:trHeight w:val="43"/>
        </w:trPr>
        <w:tc>
          <w:tcPr>
            <w:tcW w:w="2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D2A03" w:rsidRPr="002D2A03" w:rsidTr="00557D3D">
        <w:trPr>
          <w:trHeight w:val="43"/>
        </w:trPr>
        <w:tc>
          <w:tcPr>
            <w:tcW w:w="2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2A03" w:rsidRPr="002D2A03" w:rsidTr="00557D3D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2D2A03" w:rsidRPr="002D2A03" w:rsidTr="00557D3D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2D2A03" w:rsidRPr="002D2A03" w:rsidTr="00557D3D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2D2A03" w:rsidRPr="002D2A03" w:rsidTr="00557D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620 </w:t>
            </w:r>
          </w:p>
        </w:tc>
      </w:tr>
    </w:tbl>
    <w:p w:rsidR="00C71101" w:rsidRPr="00A6749E" w:rsidRDefault="00E04AE5" w:rsidP="00557D3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97C69">
        <w:rPr>
          <w:rFonts w:ascii="Arial" w:eastAsia="Times New Roman" w:hAnsi="Arial" w:cs="Arial"/>
          <w:i/>
          <w:iCs/>
          <w:sz w:val="16"/>
          <w:szCs w:val="16"/>
        </w:rPr>
        <w:t>Ongoing assessment and validation are continuously being conducted.</w:t>
      </w:r>
    </w:p>
    <w:p w:rsidR="00C97C69" w:rsidRP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:rsidR="00C97C69" w:rsidRDefault="00C97C69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04AE5" w:rsidRPr="00C97C69" w:rsidRDefault="00FC54C7" w:rsidP="00557D3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C97C69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E04AE5" w:rsidRPr="00C97C6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C97C69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C97C6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C97C69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:rsidR="00E04AE5" w:rsidRPr="00C97C69" w:rsidRDefault="00EB153B" w:rsidP="00557D3D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7C6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C97C6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C97C6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C97C6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124 </w:t>
      </w:r>
      <w:r w:rsidRPr="00C97C6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C97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4854" w:rsidRPr="00C97C69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E04AE5" w:rsidRPr="00C97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7C6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620 </w:t>
      </w:r>
      <w:r w:rsidR="00354854" w:rsidRPr="00C97C6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C97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C97C69">
        <w:rPr>
          <w:rFonts w:ascii="Arial" w:hAnsi="Arial" w:cs="Arial"/>
          <w:sz w:val="24"/>
          <w:szCs w:val="24"/>
          <w:shd w:val="clear" w:color="auto" w:fill="FFFFFF"/>
        </w:rPr>
        <w:t>currently</w:t>
      </w:r>
      <w:r w:rsidR="00E04AE5" w:rsidRPr="00C97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7C69">
        <w:rPr>
          <w:rFonts w:ascii="Arial" w:hAnsi="Arial" w:cs="Arial"/>
          <w:sz w:val="24"/>
          <w:szCs w:val="24"/>
          <w:shd w:val="clear" w:color="auto" w:fill="FFFFFF"/>
        </w:rPr>
        <w:t xml:space="preserve">taking temporary shelter at </w:t>
      </w:r>
      <w:proofErr w:type="spellStart"/>
      <w:r w:rsidR="00C97C69" w:rsidRPr="00557D3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</w:t>
      </w:r>
      <w:proofErr w:type="spellEnd"/>
      <w:r w:rsidR="00C97C69" w:rsidRPr="00557D3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 w:rsidR="00C97C69" w:rsidRPr="00557D3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Lumakil</w:t>
      </w:r>
      <w:proofErr w:type="spellEnd"/>
      <w:r w:rsidR="00C97C69" w:rsidRPr="00557D3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Gym</w:t>
      </w:r>
      <w:r w:rsidR="00E04AE5" w:rsidRPr="00C97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1101" w:rsidRPr="00C97C6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E04AE5" w:rsidRPr="00C97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1101" w:rsidRPr="00C97C69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E04AE5" w:rsidRPr="00C97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1101" w:rsidRPr="00C97C69">
        <w:rPr>
          <w:rFonts w:ascii="Arial" w:hAnsi="Arial" w:cs="Arial"/>
          <w:color w:val="222222"/>
          <w:sz w:val="24"/>
          <w:szCs w:val="24"/>
          <w:shd w:val="clear" w:color="auto" w:fill="FFFFFF"/>
        </w:rPr>
        <w:t>2).</w:t>
      </w:r>
    </w:p>
    <w:p w:rsidR="00E04AE5" w:rsidRDefault="00E04AE5" w:rsidP="00557D3D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1101" w:rsidRPr="00C97C69" w:rsidRDefault="006265AF" w:rsidP="00557D3D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</w:p>
    <w:tbl>
      <w:tblPr>
        <w:tblW w:w="484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57"/>
        <w:gridCol w:w="847"/>
        <w:gridCol w:w="998"/>
        <w:gridCol w:w="1077"/>
        <w:gridCol w:w="1274"/>
        <w:gridCol w:w="1268"/>
        <w:gridCol w:w="1270"/>
      </w:tblGrid>
      <w:tr w:rsidR="00C97C69" w:rsidRPr="00C97C69" w:rsidTr="00557D3D">
        <w:trPr>
          <w:trHeight w:val="20"/>
        </w:trPr>
        <w:tc>
          <w:tcPr>
            <w:tcW w:w="1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97C69" w:rsidRPr="00C97C69" w:rsidTr="00557D3D">
        <w:trPr>
          <w:trHeight w:val="2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97C69" w:rsidRPr="00C97C69" w:rsidTr="00557D3D">
        <w:trPr>
          <w:trHeight w:val="2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7C69" w:rsidRPr="00C97C69" w:rsidTr="00557D3D">
        <w:trPr>
          <w:trHeight w:val="2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97C69" w:rsidRPr="00C97C69" w:rsidTr="00557D3D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C97C69" w:rsidRPr="00C97C69" w:rsidTr="00557D3D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C97C69" w:rsidRPr="00C97C69" w:rsidTr="00557D3D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C97C69" w:rsidRPr="00C97C69" w:rsidTr="00557D3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620 </w:t>
            </w:r>
          </w:p>
        </w:tc>
      </w:tr>
    </w:tbl>
    <w:p w:rsidR="00C97C69" w:rsidRPr="00A6749E" w:rsidRDefault="00C97C69" w:rsidP="00557D3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</w:rPr>
        <w:t>Ongoing assessment and validation are continuously being conducted.</w:t>
      </w:r>
    </w:p>
    <w:p w:rsidR="00C97C69" w:rsidRP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:rsidR="00557D3D" w:rsidRPr="00557D3D" w:rsidRDefault="00557D3D" w:rsidP="00557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A02" w:rsidRPr="00AE4967" w:rsidRDefault="00120A02" w:rsidP="00557D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:rsidR="00120A02" w:rsidRPr="00AE4967" w:rsidRDefault="00120A02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97C69" w:rsidRPr="00C97C69">
        <w:rPr>
          <w:rFonts w:ascii="Arial" w:eastAsia="Arial" w:hAnsi="Arial" w:cs="Arial"/>
          <w:b/>
          <w:color w:val="0070C0"/>
          <w:sz w:val="24"/>
          <w:szCs w:val="24"/>
        </w:rPr>
        <w:t xml:space="preserve">97,416.00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worth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assistance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provided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C97C69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E04A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to</w:t>
      </w:r>
      <w:r w:rsidR="00E04A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the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affected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(see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7C69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:rsidR="00120A02" w:rsidRPr="00AE4967" w:rsidRDefault="00120A02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20A02" w:rsidRPr="009E72D8" w:rsidRDefault="00120A02" w:rsidP="00557D3D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C97C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of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Assistance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Provided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to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Affected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Families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/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Persons</w:t>
      </w:r>
    </w:p>
    <w:tbl>
      <w:tblPr>
        <w:tblW w:w="4819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66"/>
        <w:gridCol w:w="1353"/>
        <w:gridCol w:w="1353"/>
        <w:gridCol w:w="1353"/>
        <w:gridCol w:w="1040"/>
        <w:gridCol w:w="1674"/>
      </w:tblGrid>
      <w:tr w:rsidR="00C97C69" w:rsidRPr="00C97C69" w:rsidTr="00557D3D">
        <w:trPr>
          <w:trHeight w:val="43"/>
          <w:tblHeader/>
        </w:trPr>
        <w:tc>
          <w:tcPr>
            <w:tcW w:w="1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97C69" w:rsidRPr="00C97C69" w:rsidTr="00557D3D">
        <w:trPr>
          <w:trHeight w:val="20"/>
          <w:tblHeader/>
        </w:trPr>
        <w:tc>
          <w:tcPr>
            <w:tcW w:w="1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97C69" w:rsidRPr="00C97C69" w:rsidTr="00557D3D">
        <w:trPr>
          <w:trHeight w:val="20"/>
        </w:trPr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</w:tr>
      <w:tr w:rsidR="00C97C69" w:rsidRPr="00C97C69" w:rsidTr="00557D3D">
        <w:trPr>
          <w:trHeight w:val="20"/>
        </w:trPr>
        <w:tc>
          <w:tcPr>
            <w:tcW w:w="1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</w:tr>
      <w:tr w:rsidR="00C97C69" w:rsidRPr="00C97C69" w:rsidTr="00557D3D">
        <w:trPr>
          <w:trHeight w:val="20"/>
        </w:trPr>
        <w:tc>
          <w:tcPr>
            <w:tcW w:w="1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South </w:t>
            </w:r>
            <w:proofErr w:type="spellStart"/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</w:tr>
      <w:tr w:rsidR="00C97C69" w:rsidRPr="00C97C69" w:rsidTr="00557D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97,416.00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97,416.00 </w:t>
            </w:r>
          </w:p>
        </w:tc>
      </w:tr>
    </w:tbl>
    <w:p w:rsid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:rsidR="00557D3D" w:rsidRDefault="00557D3D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7D3D" w:rsidRPr="00557D3D" w:rsidRDefault="00557D3D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70FE4" w:rsidRPr="009E72D8" w:rsidRDefault="00FC54C7" w:rsidP="00557D3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3D0AEA" w:rsidRPr="00AE4967" w:rsidRDefault="00E04AE5" w:rsidP="00557D3D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3D0AEA" w:rsidRPr="00AE4967" w:rsidRDefault="003D0AEA" w:rsidP="00557D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3D0AEA" w:rsidRPr="009E72D8" w:rsidTr="00B55D8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57D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57D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B55D8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C97C69" w:rsidP="00557D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57D3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57D3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57D3D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9E72D8" w:rsidTr="009E72D8">
        <w:trPr>
          <w:trHeight w:val="20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57D3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57D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9E72D8" w:rsidTr="009E72D8">
        <w:trPr>
          <w:trHeight w:val="20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E6D21" w:rsidRDefault="003E6D21" w:rsidP="00557D3D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19 </w:t>
            </w:r>
            <w:r w:rsidR="00C97C69"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2020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21" w:rsidRDefault="003E6D21" w:rsidP="00557D3D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124 family food packs, 124 plastic mats</w:t>
            </w: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1 roll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laminated sacks to LGU of </w:t>
            </w:r>
            <w:proofErr w:type="spellStart"/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Polomolok</w:t>
            </w:r>
            <w:proofErr w:type="spellEnd"/>
            <w:r w:rsidR="00557D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South </w:t>
            </w:r>
            <w:proofErr w:type="spellStart"/>
            <w:r w:rsidR="00557D3D">
              <w:rPr>
                <w:rFonts w:ascii="Arial" w:eastAsia="Arial" w:hAnsi="Arial" w:cs="Arial"/>
                <w:color w:val="0070C0"/>
                <w:sz w:val="20"/>
                <w:szCs w:val="24"/>
              </w:rPr>
              <w:t>Cotabato</w:t>
            </w:r>
            <w:proofErr w:type="spellEnd"/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CD7DE8" w:rsidRPr="003E6D21" w:rsidRDefault="003E6D21" w:rsidP="00557D3D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</w:t>
            </w: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with the Municipal Social Welfare and Development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Office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Polomolok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conducted validation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actual monitoring in the area. </w:t>
            </w:r>
          </w:p>
        </w:tc>
      </w:tr>
    </w:tbl>
    <w:p w:rsidR="006A63BA" w:rsidRPr="00AE4967" w:rsidRDefault="006A63BA" w:rsidP="00557D3D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24"/>
        </w:rPr>
      </w:pPr>
      <w:bookmarkStart w:id="3" w:name="_3znysh7" w:colFirst="0" w:colLast="0"/>
      <w:bookmarkEnd w:id="3"/>
    </w:p>
    <w:p w:rsidR="00470FE4" w:rsidRPr="00A949BE" w:rsidRDefault="00FC54C7" w:rsidP="00557D3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949BE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A949BE" w:rsidRDefault="006265AF" w:rsidP="00557D3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continues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to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E6D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XII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:rsidR="00D6454A" w:rsidRPr="00AE4967" w:rsidRDefault="00A949BE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bookmarkStart w:id="4" w:name="_GoBack"/>
      <w:bookmarkEnd w:id="4"/>
    </w:p>
    <w:p w:rsidR="006A63BA" w:rsidRPr="00AE4967" w:rsidRDefault="00B25F5C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B25F5C" w:rsidRPr="00AE4967" w:rsidRDefault="00B25F5C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Pr="00AE4967" w:rsidRDefault="00B25F5C" w:rsidP="00557D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25F5C" w:rsidRPr="00AE4967" w:rsidRDefault="003E6D21" w:rsidP="00557D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2E75E9" w:rsidRDefault="002E75E9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949BE" w:rsidRPr="00AE4967" w:rsidRDefault="00A949BE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A949BE" w:rsidP="00557D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584FCB" w:rsidRPr="00AE4967" w:rsidRDefault="00FC54C7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6A" w:rsidRDefault="00BD2D6A">
      <w:pPr>
        <w:spacing w:after="0" w:line="240" w:lineRule="auto"/>
      </w:pPr>
      <w:r>
        <w:separator/>
      </w:r>
    </w:p>
  </w:endnote>
  <w:endnote w:type="continuationSeparator" w:id="0">
    <w:p w:rsidR="00BD2D6A" w:rsidRDefault="00B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557D3D" w:rsidRDefault="00FC54C7" w:rsidP="003E6D21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 w:rsidRPr="00B25F5C">
      <w:rPr>
        <w:sz w:val="16"/>
        <w:szCs w:val="16"/>
      </w:rPr>
      <w:t xml:space="preserve">Page </w:t>
    </w:r>
    <w:r w:rsidRPr="00B25F5C">
      <w:rPr>
        <w:b/>
        <w:sz w:val="16"/>
        <w:szCs w:val="16"/>
      </w:rPr>
      <w:fldChar w:fldCharType="begin"/>
    </w:r>
    <w:r w:rsidRPr="00B25F5C">
      <w:rPr>
        <w:b/>
        <w:sz w:val="16"/>
        <w:szCs w:val="16"/>
      </w:rPr>
      <w:instrText>PAGE</w:instrText>
    </w:r>
    <w:r w:rsidRPr="00B25F5C">
      <w:rPr>
        <w:b/>
        <w:sz w:val="16"/>
        <w:szCs w:val="16"/>
      </w:rPr>
      <w:fldChar w:fldCharType="separate"/>
    </w:r>
    <w:r w:rsidR="00557D3D">
      <w:rPr>
        <w:b/>
        <w:noProof/>
        <w:sz w:val="16"/>
        <w:szCs w:val="16"/>
      </w:rPr>
      <w:t>2</w:t>
    </w:r>
    <w:r w:rsidRPr="00B25F5C">
      <w:rPr>
        <w:b/>
        <w:sz w:val="16"/>
        <w:szCs w:val="16"/>
      </w:rPr>
      <w:fldChar w:fldCharType="end"/>
    </w:r>
    <w:r w:rsidRPr="00B25F5C">
      <w:rPr>
        <w:sz w:val="16"/>
        <w:szCs w:val="16"/>
      </w:rPr>
      <w:t xml:space="preserve"> of </w:t>
    </w:r>
    <w:r w:rsidRPr="00B25F5C">
      <w:rPr>
        <w:b/>
        <w:sz w:val="16"/>
        <w:szCs w:val="16"/>
      </w:rPr>
      <w:fldChar w:fldCharType="begin"/>
    </w:r>
    <w:r w:rsidRPr="00B25F5C">
      <w:rPr>
        <w:b/>
        <w:sz w:val="16"/>
        <w:szCs w:val="16"/>
      </w:rPr>
      <w:instrText>NUMPAGES</w:instrText>
    </w:r>
    <w:r w:rsidRPr="00B25F5C">
      <w:rPr>
        <w:b/>
        <w:sz w:val="16"/>
        <w:szCs w:val="16"/>
      </w:rPr>
      <w:fldChar w:fldCharType="separate"/>
    </w:r>
    <w:r w:rsidR="00557D3D">
      <w:rPr>
        <w:b/>
        <w:noProof/>
        <w:sz w:val="16"/>
        <w:szCs w:val="16"/>
      </w:rPr>
      <w:t>2</w:t>
    </w:r>
    <w:r w:rsidRPr="00B25F5C">
      <w:rPr>
        <w:b/>
        <w:sz w:val="16"/>
        <w:szCs w:val="16"/>
      </w:rPr>
      <w:fldChar w:fldCharType="end"/>
    </w:r>
    <w:r w:rsidR="00557D3D">
      <w:rPr>
        <w:b/>
        <w:sz w:val="16"/>
        <w:szCs w:val="16"/>
      </w:rPr>
      <w:t xml:space="preserve"> </w:t>
    </w:r>
    <w:r w:rsidRPr="00B25F5C">
      <w:rPr>
        <w:sz w:val="16"/>
        <w:szCs w:val="16"/>
      </w:rPr>
      <w:t>|</w:t>
    </w:r>
    <w:r w:rsidR="003712FF" w:rsidRPr="00B25F5C">
      <w:rPr>
        <w:sz w:val="16"/>
        <w:szCs w:val="16"/>
      </w:rPr>
      <w:t xml:space="preserve"> </w:t>
    </w:r>
    <w:r w:rsidR="003D0AEA" w:rsidRPr="00B25F5C">
      <w:rPr>
        <w:sz w:val="16"/>
        <w:szCs w:val="16"/>
      </w:rPr>
      <w:t xml:space="preserve">DSWD DROMIC Report #1 on </w:t>
    </w:r>
    <w:r w:rsidR="003712FF" w:rsidRPr="00B25F5C">
      <w:rPr>
        <w:sz w:val="16"/>
        <w:szCs w:val="16"/>
      </w:rPr>
      <w:t xml:space="preserve">the </w:t>
    </w:r>
    <w:r w:rsidR="003E6D21">
      <w:rPr>
        <w:sz w:val="16"/>
        <w:szCs w:val="16"/>
      </w:rPr>
      <w:t>Displacement due</w:t>
    </w:r>
    <w:r w:rsidR="003E6D21" w:rsidRPr="003E6D21">
      <w:rPr>
        <w:sz w:val="16"/>
        <w:szCs w:val="16"/>
      </w:rPr>
      <w:t xml:space="preserve"> to </w:t>
    </w:r>
    <w:r w:rsidR="00557D3D" w:rsidRPr="003E6D21">
      <w:rPr>
        <w:sz w:val="16"/>
        <w:szCs w:val="16"/>
      </w:rPr>
      <w:t xml:space="preserve">Presence </w:t>
    </w:r>
    <w:r w:rsidR="003E6D21" w:rsidRPr="003E6D21">
      <w:rPr>
        <w:sz w:val="16"/>
        <w:szCs w:val="16"/>
      </w:rPr>
      <w:t xml:space="preserve">of Armed Lawless Elements </w:t>
    </w:r>
  </w:p>
  <w:p w:rsidR="00470FE4" w:rsidRPr="00B25F5C" w:rsidRDefault="003E6D21" w:rsidP="00557D3D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proofErr w:type="gramStart"/>
    <w:r w:rsidRPr="003E6D21">
      <w:rPr>
        <w:sz w:val="16"/>
        <w:szCs w:val="16"/>
      </w:rPr>
      <w:t>in</w:t>
    </w:r>
    <w:proofErr w:type="gramEnd"/>
    <w:r w:rsidRPr="003E6D21">
      <w:rPr>
        <w:sz w:val="16"/>
        <w:szCs w:val="16"/>
      </w:rPr>
      <w:t xml:space="preserve"> </w:t>
    </w:r>
    <w:proofErr w:type="spellStart"/>
    <w:r w:rsidRPr="003E6D21">
      <w:rPr>
        <w:sz w:val="16"/>
        <w:szCs w:val="16"/>
      </w:rPr>
      <w:t>Brgy</w:t>
    </w:r>
    <w:proofErr w:type="spellEnd"/>
    <w:r w:rsidRPr="003E6D21">
      <w:rPr>
        <w:sz w:val="16"/>
        <w:szCs w:val="16"/>
      </w:rPr>
      <w:t xml:space="preserve">. </w:t>
    </w:r>
    <w:proofErr w:type="spellStart"/>
    <w:r w:rsidRPr="003E6D21">
      <w:rPr>
        <w:sz w:val="16"/>
        <w:szCs w:val="16"/>
      </w:rPr>
      <w:t>Lumakil</w:t>
    </w:r>
    <w:proofErr w:type="spellEnd"/>
    <w:r w:rsidRPr="003E6D21">
      <w:rPr>
        <w:sz w:val="16"/>
        <w:szCs w:val="16"/>
      </w:rPr>
      <w:t xml:space="preserve">, </w:t>
    </w:r>
    <w:proofErr w:type="spellStart"/>
    <w:r w:rsidRPr="003E6D21">
      <w:rPr>
        <w:sz w:val="16"/>
        <w:szCs w:val="16"/>
      </w:rPr>
      <w:t>Polomolok</w:t>
    </w:r>
    <w:proofErr w:type="spellEnd"/>
    <w:r w:rsidRPr="003E6D21">
      <w:rPr>
        <w:sz w:val="16"/>
        <w:szCs w:val="16"/>
      </w:rPr>
      <w:t xml:space="preserve">, South </w:t>
    </w:r>
    <w:proofErr w:type="spellStart"/>
    <w:r w:rsidRPr="003E6D21">
      <w:rPr>
        <w:sz w:val="16"/>
        <w:szCs w:val="16"/>
      </w:rPr>
      <w:t>Cotabato</w:t>
    </w:r>
    <w:proofErr w:type="spellEnd"/>
    <w:r w:rsidR="00557D3D">
      <w:rPr>
        <w:sz w:val="16"/>
        <w:szCs w:val="16"/>
      </w:rPr>
      <w:t xml:space="preserve"> </w:t>
    </w:r>
    <w:r>
      <w:rPr>
        <w:sz w:val="16"/>
        <w:szCs w:val="16"/>
      </w:rPr>
      <w:t>as of 19</w:t>
    </w:r>
    <w:r w:rsidR="00C670C1" w:rsidRPr="00B25F5C">
      <w:rPr>
        <w:sz w:val="16"/>
        <w:szCs w:val="16"/>
      </w:rPr>
      <w:t xml:space="preserve"> August </w:t>
    </w:r>
    <w:r>
      <w:rPr>
        <w:sz w:val="16"/>
        <w:szCs w:val="16"/>
      </w:rPr>
      <w:t>2020</w:t>
    </w:r>
    <w:r w:rsidR="003D0AEA" w:rsidRPr="00B25F5C">
      <w:rPr>
        <w:sz w:val="16"/>
        <w:szCs w:val="16"/>
      </w:rPr>
      <w:t xml:space="preserve">, </w:t>
    </w:r>
    <w:r>
      <w:rPr>
        <w:sz w:val="16"/>
        <w:szCs w:val="16"/>
      </w:rPr>
      <w:t>6</w:t>
    </w:r>
    <w:r w:rsidR="003D0AEA" w:rsidRPr="00B25F5C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6A" w:rsidRDefault="00BD2D6A">
      <w:pPr>
        <w:spacing w:after="0" w:line="240" w:lineRule="auto"/>
      </w:pPr>
      <w:r>
        <w:separator/>
      </w:r>
    </w:p>
  </w:footnote>
  <w:footnote w:type="continuationSeparator" w:id="0">
    <w:p w:rsidR="00BD2D6A" w:rsidRDefault="00BD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E09"/>
    <w:multiLevelType w:val="hybridMultilevel"/>
    <w:tmpl w:val="72D284B8"/>
    <w:lvl w:ilvl="0" w:tplc="8744D290">
      <w:start w:val="19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E548F"/>
    <w:rsid w:val="00111B24"/>
    <w:rsid w:val="0011327B"/>
    <w:rsid w:val="00120A02"/>
    <w:rsid w:val="00133832"/>
    <w:rsid w:val="00162EFA"/>
    <w:rsid w:val="001B52C5"/>
    <w:rsid w:val="001F3F13"/>
    <w:rsid w:val="001F4B02"/>
    <w:rsid w:val="001F5D51"/>
    <w:rsid w:val="00201A4B"/>
    <w:rsid w:val="00213534"/>
    <w:rsid w:val="00286609"/>
    <w:rsid w:val="002977DD"/>
    <w:rsid w:val="002D2A03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E6D21"/>
    <w:rsid w:val="003F06EB"/>
    <w:rsid w:val="0041370B"/>
    <w:rsid w:val="00437650"/>
    <w:rsid w:val="004639B5"/>
    <w:rsid w:val="00464B6C"/>
    <w:rsid w:val="00470FE4"/>
    <w:rsid w:val="004713E2"/>
    <w:rsid w:val="004B229B"/>
    <w:rsid w:val="004B2B7C"/>
    <w:rsid w:val="004C0A5D"/>
    <w:rsid w:val="004D742A"/>
    <w:rsid w:val="005005BC"/>
    <w:rsid w:val="0050190A"/>
    <w:rsid w:val="00512D4D"/>
    <w:rsid w:val="005318D3"/>
    <w:rsid w:val="00533CE9"/>
    <w:rsid w:val="00557C5F"/>
    <w:rsid w:val="00557D3D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13D1F"/>
    <w:rsid w:val="00615BA3"/>
    <w:rsid w:val="006265AF"/>
    <w:rsid w:val="0064063A"/>
    <w:rsid w:val="006612E6"/>
    <w:rsid w:val="006A63BA"/>
    <w:rsid w:val="006A657B"/>
    <w:rsid w:val="006E0766"/>
    <w:rsid w:val="006E3F82"/>
    <w:rsid w:val="0071760E"/>
    <w:rsid w:val="00736A7C"/>
    <w:rsid w:val="0074289B"/>
    <w:rsid w:val="00774AAD"/>
    <w:rsid w:val="00785AFB"/>
    <w:rsid w:val="00792BBD"/>
    <w:rsid w:val="007A20F1"/>
    <w:rsid w:val="007C792F"/>
    <w:rsid w:val="007D54CF"/>
    <w:rsid w:val="007D7E2B"/>
    <w:rsid w:val="007E2A51"/>
    <w:rsid w:val="007E6117"/>
    <w:rsid w:val="007F1365"/>
    <w:rsid w:val="008146FA"/>
    <w:rsid w:val="00830BFD"/>
    <w:rsid w:val="008C4054"/>
    <w:rsid w:val="008D47B8"/>
    <w:rsid w:val="009246DE"/>
    <w:rsid w:val="00930B8F"/>
    <w:rsid w:val="00937C09"/>
    <w:rsid w:val="00945747"/>
    <w:rsid w:val="0095307E"/>
    <w:rsid w:val="0095416E"/>
    <w:rsid w:val="009B3E46"/>
    <w:rsid w:val="009E72D8"/>
    <w:rsid w:val="00A07CC1"/>
    <w:rsid w:val="00A22603"/>
    <w:rsid w:val="00A35600"/>
    <w:rsid w:val="00A6749E"/>
    <w:rsid w:val="00A76FAB"/>
    <w:rsid w:val="00A949BE"/>
    <w:rsid w:val="00AE4967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93115"/>
    <w:rsid w:val="00BB3E5B"/>
    <w:rsid w:val="00BD2D6A"/>
    <w:rsid w:val="00C335E5"/>
    <w:rsid w:val="00C34052"/>
    <w:rsid w:val="00C670C1"/>
    <w:rsid w:val="00C71101"/>
    <w:rsid w:val="00C760D1"/>
    <w:rsid w:val="00C865F8"/>
    <w:rsid w:val="00C97971"/>
    <w:rsid w:val="00C97C69"/>
    <w:rsid w:val="00CA4B8C"/>
    <w:rsid w:val="00CD7DE8"/>
    <w:rsid w:val="00CE07C6"/>
    <w:rsid w:val="00D241F6"/>
    <w:rsid w:val="00D26E8D"/>
    <w:rsid w:val="00D30B5C"/>
    <w:rsid w:val="00D6202F"/>
    <w:rsid w:val="00D6454A"/>
    <w:rsid w:val="00DA15B5"/>
    <w:rsid w:val="00DD4B8F"/>
    <w:rsid w:val="00DD7D90"/>
    <w:rsid w:val="00DF3AD7"/>
    <w:rsid w:val="00E04AE5"/>
    <w:rsid w:val="00E16729"/>
    <w:rsid w:val="00E16BC2"/>
    <w:rsid w:val="00E31993"/>
    <w:rsid w:val="00E37C04"/>
    <w:rsid w:val="00E5600A"/>
    <w:rsid w:val="00E603B3"/>
    <w:rsid w:val="00E642FE"/>
    <w:rsid w:val="00E71A51"/>
    <w:rsid w:val="00E90BF0"/>
    <w:rsid w:val="00E916DE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0E39-931C-436A-8DEF-2FAABEF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2020-08-19T08:22:00Z</dcterms:created>
  <dcterms:modified xsi:type="dcterms:W3CDTF">2020-08-19T08:26:00Z</dcterms:modified>
</cp:coreProperties>
</file>