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7777777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F826EC" w:rsidRPr="000F55EC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24E47358" w14:textId="5A7C688F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18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August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7D7A399C" w:rsidR="004E1525" w:rsidRPr="000F55EC" w:rsidRDefault="0050247F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9D67C2">
            <wp:simplePos x="0" y="0"/>
            <wp:positionH relativeFrom="margin">
              <wp:posOffset>2666365</wp:posOffset>
            </wp:positionH>
            <wp:positionV relativeFrom="paragraph">
              <wp:posOffset>103505</wp:posOffset>
            </wp:positionV>
            <wp:extent cx="3528695" cy="2308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88B5224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18 August 2020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50247F">
        <w:rPr>
          <w:rFonts w:ascii="Arial" w:hAnsi="Arial" w:cs="Arial"/>
          <w:sz w:val="24"/>
          <w:szCs w:val="24"/>
        </w:rPr>
        <w:t>8</w:t>
      </w:r>
      <w:r w:rsidR="00287962" w:rsidRPr="00EF0EB3">
        <w:rPr>
          <w:rFonts w:ascii="Arial" w:hAnsi="Arial" w:cs="Arial"/>
          <w:sz w:val="24"/>
          <w:szCs w:val="24"/>
        </w:rPr>
        <w:t>:03</w:t>
      </w:r>
      <w:r w:rsidR="001E1DD1" w:rsidRPr="00EF0EB3">
        <w:rPr>
          <w:rFonts w:ascii="Arial" w:hAnsi="Arial" w:cs="Arial"/>
          <w:sz w:val="24"/>
          <w:szCs w:val="24"/>
        </w:rPr>
        <w:t xml:space="preserve"> AM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6.6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Cataingan, Masbate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287962" w:rsidRPr="00EF0EB3">
        <w:rPr>
          <w:rFonts w:ascii="Arial" w:hAnsi="Arial" w:cs="Arial"/>
          <w:sz w:val="24"/>
          <w:szCs w:val="24"/>
        </w:rPr>
        <w:t>11.96°N, 124.03°E - 007 km S 29° E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21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Masbate.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0CB5A388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4F4537" w14:textId="77777777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EF0EB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EF0EB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  <w:r w:rsidR="00F9024E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/Time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1" w:type="pct"/>
          </w:tcPr>
          <w:p w14:paraId="1B0C1E30" w14:textId="57EC1494" w:rsidR="004E6F82" w:rsidRPr="00EF0EB3" w:rsidRDefault="0028796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18 Aug 2020 - 08:03:47 AM</w:t>
            </w:r>
          </w:p>
        </w:tc>
      </w:tr>
      <w:tr w:rsidR="00D72083" w:rsidRPr="00EF0EB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Reported</w:t>
            </w:r>
            <w:r w:rsidR="00CE6578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Intensities:</w:t>
            </w:r>
          </w:p>
          <w:p w14:paraId="49BB5825" w14:textId="7237FC07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331678C" w14:textId="0B65F0A3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03CDEC9" w14:textId="69863ECA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pct"/>
            <w:shd w:val="clear" w:color="auto" w:fill="FFFFFF"/>
          </w:tcPr>
          <w:p w14:paraId="6A556C77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VII - Cataingan, Masbate</w:t>
            </w:r>
          </w:p>
          <w:p w14:paraId="6A2EF7CE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City of Masbate, Masbate; Almagro, and Tagapul-an, Samar;</w:t>
            </w:r>
          </w:p>
          <w:p w14:paraId="26E58D3A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IV - Palanas, and San Jacinto, Masbate; City of Sorsogon, Sorsogon; City of Legazpi, Albay; San Andres, Quezon; Mapanas, and Palapag, Northern</w:t>
            </w:r>
          </w:p>
          <w:p w14:paraId="4F67B96B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Samar; Barugo, Dagami, Dulag, Julita, La Paz, Palo, and Tanauan, Leyte; City of Sagay, Negros Occidental</w:t>
            </w:r>
          </w:p>
          <w:p w14:paraId="5941256C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III - City of Baybay, Isabel, Javier, and Kananga, Leyte; Ormoc City; Mulanay, Quezon; City of Iloilo</w:t>
            </w:r>
          </w:p>
          <w:p w14:paraId="33457B2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 - Guinayangan and Lopez, Quezon; President Roxas, Capiz; Patnongon, Patnongon, San Jose de Buenavista, and Tibiao, Antique</w:t>
            </w:r>
          </w:p>
          <w:p w14:paraId="26D7C5E7" w14:textId="3DB96727" w:rsidR="001E1DD1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Lezo, Aklan; City of Dumaguete, Negros Oriental</w:t>
            </w:r>
          </w:p>
          <w:p w14:paraId="0CB71DE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449484" w14:textId="77777777" w:rsidR="007644DF" w:rsidRPr="00EF0EB3" w:rsidRDefault="007644DF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Instrumental Intensities:</w:t>
            </w:r>
          </w:p>
          <w:p w14:paraId="4FD87B7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Masbate City, Masbate</w:t>
            </w:r>
          </w:p>
          <w:p w14:paraId="3F050E5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IV - Palo, Leyte; City of Iloilo; City of Roxas, Capiz; Naval, Biliran;</w:t>
            </w:r>
          </w:p>
          <w:p w14:paraId="400433D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III - City of Bago, Negros Occidental; Malinao, Aklan; Pandan, Antique; Jamindan, Capiz; Ormoc City</w:t>
            </w:r>
          </w:p>
          <w:p w14:paraId="7C449756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II - Gumaca, Quezon; San Jose de Buenavista, Antique; City of Sipalay, Negros Occidental; Valderrama, Antique; Sipocot, Camarines Sur; Talibon,</w:t>
            </w:r>
          </w:p>
          <w:p w14:paraId="6E6ECA3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Bohol; San Francisco, Cebu</w:t>
            </w:r>
          </w:p>
          <w:p w14:paraId="2873A704" w14:textId="2B5038C9" w:rsidR="007644DF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I - Malay, Aklan; City of Gingoog, Misamis Oriental</w:t>
            </w:r>
          </w:p>
        </w:tc>
      </w:tr>
      <w:tr w:rsidR="004E6F82" w:rsidRPr="00EF0EB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4E6F82" w:rsidRPr="00EF0EB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B0933D6" w14:textId="77777777" w:rsidR="00EF0EB3" w:rsidRDefault="00EF0EB3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7B165D86" w14:textId="77777777" w:rsidR="00EF0EB3" w:rsidRPr="0040583A" w:rsidRDefault="00EF0EB3" w:rsidP="00EF0EB3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40ED425" w14:textId="77777777" w:rsidR="00EF0EB3" w:rsidRPr="0040583A" w:rsidRDefault="00EF0EB3" w:rsidP="00EF0EB3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583A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40583A">
        <w:rPr>
          <w:rFonts w:ascii="Arial" w:eastAsia="Arial" w:hAnsi="Arial" w:cs="Arial"/>
          <w:b/>
          <w:sz w:val="24"/>
          <w:szCs w:val="24"/>
        </w:rPr>
        <w:t>₱</w:t>
      </w:r>
      <w:r w:rsidRPr="0040583A">
        <w:rPr>
          <w:rFonts w:ascii="Arial" w:eastAsia="Arial" w:hAnsi="Arial" w:cs="Arial"/>
          <w:b/>
          <w:bCs/>
          <w:sz w:val="24"/>
          <w:szCs w:val="24"/>
        </w:rPr>
        <w:t xml:space="preserve">1,503,322,272.24 </w:t>
      </w:r>
      <w:r w:rsidRPr="0040583A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67ED49A9" w14:textId="77777777" w:rsidR="00EF0EB3" w:rsidRPr="0040583A" w:rsidRDefault="00EF0EB3" w:rsidP="00EF0EB3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152FB768" w14:textId="77777777" w:rsidR="00EF0EB3" w:rsidRPr="0040583A" w:rsidRDefault="00EF0EB3" w:rsidP="00377E02">
      <w:pPr>
        <w:widowControl w:val="0"/>
        <w:numPr>
          <w:ilvl w:val="0"/>
          <w:numId w:val="1"/>
        </w:numPr>
        <w:ind w:left="360" w:right="0"/>
        <w:contextualSpacing/>
        <w:rPr>
          <w:rFonts w:ascii="Arial" w:eastAsia="Arial" w:hAnsi="Arial" w:cs="Arial"/>
          <w:b/>
          <w:sz w:val="24"/>
          <w:szCs w:val="24"/>
        </w:rPr>
      </w:pPr>
      <w:r w:rsidRPr="0040583A">
        <w:rPr>
          <w:rFonts w:ascii="Arial" w:eastAsia="Arial" w:hAnsi="Arial" w:cs="Arial"/>
          <w:b/>
          <w:sz w:val="24"/>
          <w:szCs w:val="24"/>
        </w:rPr>
        <w:t>Standby Funds</w:t>
      </w:r>
    </w:p>
    <w:p w14:paraId="629BD08B" w14:textId="77777777" w:rsidR="00EF0EB3" w:rsidRPr="0040583A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583A">
        <w:rPr>
          <w:rFonts w:ascii="Arial" w:eastAsia="Arial" w:hAnsi="Arial" w:cs="Arial"/>
          <w:sz w:val="24"/>
          <w:szCs w:val="24"/>
        </w:rPr>
        <w:t xml:space="preserve">A total of </w:t>
      </w:r>
      <w:r w:rsidRPr="0040583A">
        <w:rPr>
          <w:rFonts w:ascii="Arial" w:eastAsia="Arial" w:hAnsi="Arial" w:cs="Arial"/>
          <w:b/>
          <w:sz w:val="24"/>
          <w:szCs w:val="24"/>
        </w:rPr>
        <w:t>₱</w:t>
      </w:r>
      <w:r w:rsidRPr="0040583A">
        <w:rPr>
          <w:rFonts w:ascii="Arial" w:eastAsia="Arial" w:hAnsi="Arial" w:cs="Arial"/>
          <w:b/>
          <w:bCs/>
          <w:sz w:val="24"/>
          <w:szCs w:val="24"/>
        </w:rPr>
        <w:t xml:space="preserve">662,559,434.57 </w:t>
      </w:r>
      <w:r w:rsidRPr="0040583A">
        <w:rPr>
          <w:rFonts w:ascii="Arial" w:eastAsia="Arial" w:hAnsi="Arial" w:cs="Arial"/>
          <w:b/>
          <w:sz w:val="24"/>
          <w:szCs w:val="24"/>
        </w:rPr>
        <w:t>standby funds</w:t>
      </w:r>
      <w:r w:rsidRPr="0040583A">
        <w:rPr>
          <w:rFonts w:ascii="Arial" w:eastAsia="Arial" w:hAnsi="Arial" w:cs="Arial"/>
          <w:sz w:val="24"/>
          <w:szCs w:val="24"/>
        </w:rPr>
        <w:t xml:space="preserve"> in the CO and FOs. Of the said amount, </w:t>
      </w:r>
      <w:r w:rsidRPr="0040583A">
        <w:rPr>
          <w:rFonts w:ascii="Arial" w:eastAsia="Arial" w:hAnsi="Arial" w:cs="Arial"/>
          <w:b/>
          <w:sz w:val="24"/>
          <w:szCs w:val="24"/>
        </w:rPr>
        <w:t xml:space="preserve">₱622,533,300.34 </w:t>
      </w:r>
      <w:r w:rsidRPr="0040583A">
        <w:rPr>
          <w:rFonts w:ascii="Arial" w:eastAsia="Arial" w:hAnsi="Arial" w:cs="Arial"/>
          <w:sz w:val="24"/>
          <w:szCs w:val="24"/>
        </w:rPr>
        <w:t>is the available</w:t>
      </w:r>
      <w:r w:rsidRPr="0040583A">
        <w:rPr>
          <w:rFonts w:ascii="Arial" w:eastAsia="Arial" w:hAnsi="Arial" w:cs="Arial"/>
          <w:b/>
          <w:sz w:val="24"/>
          <w:szCs w:val="24"/>
        </w:rPr>
        <w:t xml:space="preserve"> Quick Response Fund (QRF)</w:t>
      </w:r>
      <w:r w:rsidRPr="0040583A">
        <w:rPr>
          <w:rFonts w:ascii="Arial" w:eastAsia="Arial" w:hAnsi="Arial" w:cs="Arial"/>
          <w:sz w:val="24"/>
          <w:szCs w:val="24"/>
        </w:rPr>
        <w:t xml:space="preserve"> in the CO.</w:t>
      </w:r>
    </w:p>
    <w:p w14:paraId="0E9C5471" w14:textId="77777777" w:rsidR="00EF0EB3" w:rsidRPr="0040583A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E6034C4" w14:textId="77777777" w:rsidR="00EF0EB3" w:rsidRPr="0040583A" w:rsidRDefault="00EF0EB3" w:rsidP="00377E02">
      <w:pPr>
        <w:widowControl w:val="0"/>
        <w:numPr>
          <w:ilvl w:val="0"/>
          <w:numId w:val="1"/>
        </w:numPr>
        <w:ind w:left="360" w:right="0"/>
        <w:contextualSpacing/>
        <w:rPr>
          <w:rFonts w:ascii="Arial" w:eastAsia="Arial" w:hAnsi="Arial" w:cs="Arial"/>
          <w:b/>
          <w:sz w:val="24"/>
          <w:szCs w:val="24"/>
        </w:rPr>
      </w:pPr>
      <w:r w:rsidRPr="0040583A">
        <w:rPr>
          <w:rFonts w:ascii="Arial" w:eastAsia="Arial" w:hAnsi="Arial" w:cs="Arial"/>
          <w:b/>
          <w:sz w:val="24"/>
          <w:szCs w:val="24"/>
        </w:rPr>
        <w:t>Stockpiles</w:t>
      </w:r>
    </w:p>
    <w:p w14:paraId="6BD50224" w14:textId="77777777" w:rsidR="00EF0EB3" w:rsidRPr="000B63F7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63F7">
        <w:rPr>
          <w:rFonts w:ascii="Arial" w:eastAsia="Arial" w:hAnsi="Arial" w:cs="Arial"/>
          <w:sz w:val="24"/>
          <w:szCs w:val="24"/>
        </w:rPr>
        <w:t xml:space="preserve">A total of </w:t>
      </w:r>
      <w:r w:rsidRPr="000B63F7">
        <w:rPr>
          <w:rFonts w:ascii="Arial" w:eastAsia="Arial" w:hAnsi="Arial"/>
          <w:b/>
          <w:bCs/>
          <w:sz w:val="24"/>
          <w:szCs w:val="24"/>
        </w:rPr>
        <w:t xml:space="preserve">305,063 </w:t>
      </w:r>
      <w:r w:rsidRPr="000B63F7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0B63F7">
        <w:rPr>
          <w:rFonts w:ascii="Arial" w:eastAsia="Arial" w:hAnsi="Arial" w:cs="Arial"/>
          <w:sz w:val="24"/>
          <w:szCs w:val="24"/>
        </w:rPr>
        <w:t xml:space="preserve"> amounting to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Pr="000B63F7">
        <w:rPr>
          <w:rFonts w:ascii="Arial" w:eastAsia="Arial" w:hAnsi="Arial" w:cs="Arial"/>
          <w:b/>
          <w:bCs/>
          <w:sz w:val="24"/>
          <w:szCs w:val="24"/>
        </w:rPr>
        <w:t>149,450,385.03</w:t>
      </w:r>
      <w:r w:rsidRPr="000B63F7">
        <w:rPr>
          <w:rFonts w:ascii="Arial" w:eastAsia="Arial" w:hAnsi="Arial" w:cs="Arial"/>
          <w:sz w:val="24"/>
          <w:szCs w:val="24"/>
        </w:rPr>
        <w:t>,</w:t>
      </w:r>
      <w:r w:rsidRPr="000B63F7">
        <w:rPr>
          <w:rFonts w:ascii="Arial" w:eastAsia="Arial" w:hAnsi="Arial" w:cs="Arial"/>
          <w:b/>
          <w:sz w:val="24"/>
          <w:szCs w:val="24"/>
        </w:rPr>
        <w:t xml:space="preserve"> other food items </w:t>
      </w:r>
      <w:r w:rsidRPr="000B63F7">
        <w:rPr>
          <w:rFonts w:ascii="Arial" w:eastAsia="Arial" w:hAnsi="Arial" w:cs="Arial"/>
          <w:sz w:val="24"/>
          <w:szCs w:val="24"/>
        </w:rPr>
        <w:t xml:space="preserve">amounting to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Pr="000B63F7">
        <w:rPr>
          <w:rFonts w:ascii="Arial" w:eastAsia="Arial" w:hAnsi="Arial"/>
          <w:b/>
          <w:bCs/>
          <w:sz w:val="24"/>
          <w:szCs w:val="24"/>
        </w:rPr>
        <w:t xml:space="preserve">242,108,442.58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Pr="000B63F7">
        <w:rPr>
          <w:rFonts w:ascii="Arial" w:eastAsia="Arial" w:hAnsi="Arial" w:cs="Arial"/>
          <w:b/>
          <w:sz w:val="24"/>
          <w:szCs w:val="24"/>
        </w:rPr>
        <w:t xml:space="preserve"> non-food items (FNIs)</w:t>
      </w:r>
      <w:r w:rsidRPr="000B63F7">
        <w:rPr>
          <w:rFonts w:ascii="Arial" w:eastAsia="Arial" w:hAnsi="Arial" w:cs="Arial"/>
          <w:sz w:val="24"/>
          <w:szCs w:val="24"/>
        </w:rPr>
        <w:t xml:space="preserve"> amounting to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Pr="000B63F7">
        <w:rPr>
          <w:rFonts w:ascii="Arial" w:eastAsia="Arial" w:hAnsi="Arial"/>
          <w:b/>
          <w:bCs/>
          <w:sz w:val="24"/>
          <w:szCs w:val="24"/>
        </w:rPr>
        <w:t xml:space="preserve">449,204,010.06 </w:t>
      </w:r>
      <w:r w:rsidRPr="000B63F7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65C00F18" w14:textId="77777777" w:rsidR="00EF0EB3" w:rsidRPr="001D7B97" w:rsidRDefault="00EF0EB3" w:rsidP="00EF0EB3">
      <w:pPr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40FFAD7" w14:textId="77777777" w:rsidR="00EF0EB3" w:rsidRPr="001D7B97" w:rsidRDefault="00EF0EB3" w:rsidP="00EF0EB3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7B97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803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514"/>
        <w:gridCol w:w="815"/>
        <w:gridCol w:w="1361"/>
        <w:gridCol w:w="1288"/>
        <w:gridCol w:w="1288"/>
        <w:gridCol w:w="1668"/>
      </w:tblGrid>
      <w:tr w:rsidR="00EF0EB3" w:rsidRPr="00A144A9" w14:paraId="5AF8F94C" w14:textId="77777777" w:rsidTr="0050247F">
        <w:trPr>
          <w:trHeight w:val="20"/>
        </w:trPr>
        <w:tc>
          <w:tcPr>
            <w:tcW w:w="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6CBE5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8D61A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A68F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A2E3E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B7D2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4CF13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EF0EB3" w:rsidRPr="00A144A9" w14:paraId="5E2FDA26" w14:textId="77777777" w:rsidTr="0050247F">
        <w:trPr>
          <w:trHeight w:val="20"/>
        </w:trPr>
        <w:tc>
          <w:tcPr>
            <w:tcW w:w="7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C80B9F2" w14:textId="77777777" w:rsidR="00EF0EB3" w:rsidRPr="00A144A9" w:rsidRDefault="00EF0EB3" w:rsidP="00CD4A8E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16A2A85" w14:textId="77777777" w:rsidR="00EF0EB3" w:rsidRPr="00A144A9" w:rsidRDefault="00EF0EB3" w:rsidP="00CD4A8E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DED3C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2E420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8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3E6647D" w14:textId="77777777" w:rsidR="00EF0EB3" w:rsidRPr="00A144A9" w:rsidRDefault="00EF0EB3" w:rsidP="00CD4A8E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8A9C01E" w14:textId="77777777" w:rsidR="00EF0EB3" w:rsidRPr="00A144A9" w:rsidRDefault="00EF0EB3" w:rsidP="00CD4A8E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33BF4EB" w14:textId="77777777" w:rsidR="00EF0EB3" w:rsidRPr="00A144A9" w:rsidRDefault="00EF0EB3" w:rsidP="00CD4A8E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EF0EB3" w:rsidRPr="00A144A9" w14:paraId="706A5B86" w14:textId="77777777" w:rsidTr="0050247F">
        <w:trPr>
          <w:trHeight w:val="20"/>
        </w:trPr>
        <w:tc>
          <w:tcPr>
            <w:tcW w:w="7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D0CA87" w14:textId="77777777" w:rsidR="00EF0EB3" w:rsidRPr="00A144A9" w:rsidRDefault="00EF0EB3" w:rsidP="00CD4A8E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69E5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662,559,434.57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669C5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305,063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47A71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149,450,385.03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0CA7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242,108,442.58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44712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449,204,010.06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766AA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1,503,322,272.24</w:t>
            </w:r>
          </w:p>
        </w:tc>
      </w:tr>
      <w:tr w:rsidR="00EF0EB3" w:rsidRPr="00A144A9" w14:paraId="1E2C482E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26B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8A1F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622,533,300.34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92B09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4D09C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3D06E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FEB0B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8F218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622,533,300.34</w:t>
            </w:r>
          </w:p>
        </w:tc>
      </w:tr>
      <w:tr w:rsidR="00EF0EB3" w:rsidRPr="00A144A9" w14:paraId="720C7959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9CECD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F49E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28B3E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57,683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49414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27,747,860.00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92D7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46,392,760.12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B1832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246,114,502.99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C2B0D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320,255,123.11</w:t>
            </w:r>
          </w:p>
        </w:tc>
      </w:tr>
      <w:tr w:rsidR="00EF0EB3" w:rsidRPr="00A144A9" w14:paraId="43E1D211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2D43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4CC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C47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8,371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954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3,959,483.00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687C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10,977,863.98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29FE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1,047,021.75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C270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15,984,368.73</w:t>
            </w:r>
          </w:p>
        </w:tc>
      </w:tr>
      <w:tr w:rsidR="00EF0EB3" w:rsidRPr="00A144A9" w14:paraId="62F59721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BB8E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C0735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265,455.20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D672D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16,129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C0AFB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8,528,416.04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E0CA8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2,820,730.00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8823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36,913,928.87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760B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48,528,530.11</w:t>
            </w:r>
          </w:p>
        </w:tc>
      </w:tr>
      <w:tr w:rsidR="00EF0EB3" w:rsidRPr="00A144A9" w14:paraId="311AECA0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3C09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0B83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3,000,838.89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57B7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18,620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CFA7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8,822,314.54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AD02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10,680,333.55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3FB8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F654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28,013,885.93</w:t>
            </w:r>
          </w:p>
        </w:tc>
      </w:tr>
      <w:tr w:rsidR="00EF0EB3" w:rsidRPr="00A144A9" w14:paraId="72481440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4967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DDD2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2,181,900.00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9ED5F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17,597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42502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6,569,010.48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B338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1,337,239.97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417A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B3C6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15,598,549.40</w:t>
            </w:r>
          </w:p>
        </w:tc>
      </w:tr>
      <w:tr w:rsidR="00EF0EB3" w:rsidRPr="00A144A9" w14:paraId="6D33EFD7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DD23C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732B9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19E67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5,248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69BEC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2,078,208.00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8AA05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7,444,130.00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29E7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5,100,261.58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76394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17,622,599.58</w:t>
            </w:r>
          </w:p>
        </w:tc>
      </w:tr>
      <w:tr w:rsidR="00EF0EB3" w:rsidRPr="00A144A9" w14:paraId="4771D8CB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50B74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5673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474A1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18,892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B165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8,501,400.00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3BC0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2,611,589.00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1E87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4,732,376.25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CED8C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18,845,365.25</w:t>
            </w:r>
          </w:p>
        </w:tc>
      </w:tr>
      <w:tr w:rsidR="00EF0EB3" w:rsidRPr="00A144A9" w14:paraId="57A1FE9F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C1C7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4EDEC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3,001,050.00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84FAC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22,705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56AA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9,274,982.40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60C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3,677,526.03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A3C8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24,926,132.90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BF70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40,879,691.33</w:t>
            </w:r>
          </w:p>
        </w:tc>
      </w:tr>
      <w:tr w:rsidR="00EF0EB3" w:rsidRPr="00A144A9" w14:paraId="2F7D688D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2037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C913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51.68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B33C2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17,320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D7857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7,431,854.67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E537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48,660,483.77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9B2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3,394,034.59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3C1C5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59,486,424.71</w:t>
            </w:r>
          </w:p>
        </w:tc>
      </w:tr>
      <w:tr w:rsidR="00EF0EB3" w:rsidRPr="00A144A9" w14:paraId="538CC43D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0B5B9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8658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3,024,851.31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AE3E6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7,317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5C6E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3,346,550.24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C1EF4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11,901,988.46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C2F5C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78,320.00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1C985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18,351,710.01</w:t>
            </w:r>
          </w:p>
        </w:tc>
      </w:tr>
      <w:tr w:rsidR="00EF0EB3" w:rsidRPr="00A144A9" w14:paraId="250B9003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13897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4F04A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3,003,550.00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33540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24,119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C784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12,847,283.40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9090B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6,648,181.70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A8A9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19,401,330.38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480A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41,900,345.48</w:t>
            </w:r>
          </w:p>
        </w:tc>
      </w:tr>
      <w:tr w:rsidR="00EF0EB3" w:rsidRPr="00A144A9" w14:paraId="208A6D52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0778A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6C8AA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124C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21,060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3E738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11,498,760.00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21B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8,782,570.00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B4EAD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14,357,924.59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638B5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34,639,254.59</w:t>
            </w:r>
          </w:p>
        </w:tc>
      </w:tr>
      <w:tr w:rsidR="00EF0EB3" w:rsidRPr="00A144A9" w14:paraId="5E62B91F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9609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0C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7EA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39,179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F3A3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24,794,572.29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3C00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32,936,093.51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2897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19,741,385.74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F8BCA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80,472,775.96</w:t>
            </w:r>
          </w:p>
        </w:tc>
      </w:tr>
      <w:tr w:rsidR="00EF0EB3" w:rsidRPr="00A144A9" w14:paraId="1940401A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4B3F4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85B6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5381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2,611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E6FB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966,461.65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01F56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14,380,475.00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F030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23,872,662.70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3124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42,219,600.35</w:t>
            </w:r>
          </w:p>
        </w:tc>
      </w:tr>
      <w:tr w:rsidR="00EF0EB3" w:rsidRPr="00A144A9" w14:paraId="0558D1B1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7DBEB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CA23B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4,543,701.68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8A5CC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6,138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D605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3,375,900.00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5022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10,289,125.49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8BB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12,876,448.72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FD78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31,085,175.89</w:t>
            </w:r>
          </w:p>
        </w:tc>
      </w:tr>
      <w:tr w:rsidR="00EF0EB3" w:rsidRPr="00A144A9" w14:paraId="3EFDD14C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138C3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B52EE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3,000,538.05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92FE1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3,527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EA627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1,206,163.46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FC2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3,453,170.84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84F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3,692,470.55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DF005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11,352,342.90</w:t>
            </w:r>
          </w:p>
        </w:tc>
      </w:tr>
      <w:tr w:rsidR="00EF0EB3" w:rsidRPr="00A144A9" w14:paraId="21479376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33697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1FA7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3,000,439.00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CA75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1,677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AA8B2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921,176.10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6855D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7,479,060.00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0C4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9,929,291.41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0367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21,329,966.51</w:t>
            </w:r>
          </w:p>
        </w:tc>
      </w:tr>
      <w:tr w:rsidR="00EF0EB3" w:rsidRPr="00A144A9" w14:paraId="7D504102" w14:textId="77777777" w:rsidTr="0050247F">
        <w:trPr>
          <w:trHeight w:val="20"/>
        </w:trPr>
        <w:tc>
          <w:tcPr>
            <w:tcW w:w="75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0C9F1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0059C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3,003,033.00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3EA18" w14:textId="77777777" w:rsidR="00EF0EB3" w:rsidRPr="00A144A9" w:rsidRDefault="00EF0EB3" w:rsidP="00CD4A8E">
            <w:pPr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16,870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86BF1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7,579,988.76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D27F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11,635,121.16 </w:t>
            </w:r>
          </w:p>
        </w:tc>
        <w:tc>
          <w:tcPr>
            <w:tcW w:w="6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512BB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12,005,119.14 </w:t>
            </w:r>
          </w:p>
        </w:tc>
        <w:tc>
          <w:tcPr>
            <w:tcW w:w="8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C3313" w14:textId="77777777" w:rsidR="00EF0EB3" w:rsidRPr="00A144A9" w:rsidRDefault="00EF0EB3" w:rsidP="00CD4A8E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34,223,262.06</w:t>
            </w:r>
          </w:p>
        </w:tc>
      </w:tr>
    </w:tbl>
    <w:p w14:paraId="0ADAEA28" w14:textId="77777777" w:rsidR="00EF0EB3" w:rsidRPr="00B11CE1" w:rsidRDefault="00EF0EB3" w:rsidP="00EF0EB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17 August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0B55C0E6" w14:textId="77777777" w:rsidR="00EF0EB3" w:rsidRPr="000B63F7" w:rsidRDefault="00EF0EB3" w:rsidP="00EF0EB3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4F37FABF" w14:textId="77777777" w:rsidR="00EF0EB3" w:rsidRDefault="00EF0EB3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4290DDB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2F9CD3E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009DE2EC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525AE20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84F530B" w14:textId="77777777" w:rsidR="00EF0EB3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0A0EE43C" w14:textId="53C9DBC7" w:rsidR="00EF0EB3" w:rsidRDefault="00EF0EB3" w:rsidP="00EF0EB3">
      <w:pPr>
        <w:ind w:right="27"/>
        <w:contextualSpacing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600DE2CE" w14:textId="3C8461A7" w:rsidR="00EF0EB3" w:rsidRPr="005F3197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bookmarkStart w:id="3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67BEC2" wp14:editId="6F4B79CA">
            <wp:simplePos x="0" y="0"/>
            <wp:positionH relativeFrom="column">
              <wp:posOffset>19050</wp:posOffset>
            </wp:positionH>
            <wp:positionV relativeFrom="paragraph">
              <wp:posOffset>296545</wp:posOffset>
            </wp:positionV>
            <wp:extent cx="6175375" cy="477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#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t>DSWD DISASTER RESPONSE INFORMATION</w:t>
      </w:r>
    </w:p>
    <w:p w14:paraId="0FC2D9DF" w14:textId="7C869A95" w:rsidR="00EF0EB3" w:rsidRDefault="00EF0EB3" w:rsidP="00EF0EB3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CFC1B" w14:textId="13628EC7" w:rsidR="00EF0EB3" w:rsidRPr="003F1FAE" w:rsidRDefault="00EF0EB3" w:rsidP="00EF0EB3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726B795" w14:textId="46D9C5EB" w:rsidR="00EF0EB3" w:rsidRDefault="00EF0EB3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981"/>
      </w:tblGrid>
      <w:tr w:rsidR="008B5BDB" w14:paraId="6B53B435" w14:textId="77777777" w:rsidTr="00CD4A8E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CD4A8E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588230A5" w:rsidR="008B5BDB" w:rsidRP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 w:rsidRPr="008B5BDB">
              <w:rPr>
                <w:rFonts w:ascii="Arial" w:eastAsia="Arial" w:hAnsi="Arial" w:cs="Arial"/>
                <w:color w:val="0070C0"/>
              </w:rPr>
              <w:t>1</w:t>
            </w:r>
            <w:r>
              <w:rPr>
                <w:rFonts w:ascii="Arial" w:eastAsia="Arial" w:hAnsi="Arial" w:cs="Arial"/>
                <w:color w:val="0070C0"/>
              </w:rPr>
              <w:t>8</w:t>
            </w:r>
            <w:r w:rsidRPr="008B5BDB">
              <w:rPr>
                <w:rFonts w:ascii="Arial" w:eastAsia="Arial" w:hAnsi="Arial" w:cs="Arial"/>
                <w:color w:val="0070C0"/>
              </w:rPr>
              <w:t xml:space="preserve"> August 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33E5" w14:textId="77777777" w:rsidR="008B5BDB" w:rsidRPr="008B5BDB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Management Bureau (DRMB) is on </w:t>
            </w:r>
            <w:r w:rsidRPr="008B5BDB">
              <w:rPr>
                <w:rFonts w:ascii="Arial" w:eastAsia="Arial" w:hAnsi="Arial" w:cs="Arial"/>
                <w:b/>
                <w:color w:val="0070C0"/>
                <w:szCs w:val="19"/>
              </w:rPr>
              <w:t>BLUE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alert status.</w:t>
            </w:r>
          </w:p>
          <w:p w14:paraId="2BA0BA80" w14:textId="77777777" w:rsidR="008B5BDB" w:rsidRPr="008B5BDB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8B5BDB">
              <w:rPr>
                <w:rFonts w:ascii="Arial" w:eastAsia="Arial" w:hAnsi="Arial" w:cs="Arial"/>
                <w:color w:val="0070C0"/>
                <w:szCs w:val="19"/>
              </w:rPr>
              <w:t>DSWD-DRMB Disaster Operations and Support Division (DOSD) continuously facilitates the downloading of funds to DSWD-Field Offices.</w:t>
            </w:r>
          </w:p>
          <w:p w14:paraId="4CAE5CAB" w14:textId="5C33932C" w:rsidR="008B5BDB" w:rsidRPr="008B5BDB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8B5BDB">
              <w:rPr>
                <w:rFonts w:ascii="Arial" w:eastAsia="Arial" w:hAnsi="Arial" w:cs="Arial"/>
                <w:color w:val="0070C0"/>
                <w:szCs w:val="19"/>
              </w:rPr>
              <w:t>DSWD-DRMB Preparedness for Response Division (PRD) in coordination with other DRMB divisions and concerned offices, is continuously monitoring and updating the status of the Standby Funds.</w:t>
            </w:r>
          </w:p>
          <w:p w14:paraId="7E765434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8B5BDB">
              <w:rPr>
                <w:rFonts w:ascii="Arial" w:eastAsia="Arial" w:hAnsi="Arial" w:cs="Arial"/>
                <w:color w:val="0070C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  <w:p w14:paraId="42877CAA" w14:textId="4EBA0B9B" w:rsidR="0050247F" w:rsidRPr="0050247F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DSWD-DRMB 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>is continuous</w:t>
            </w:r>
            <w:r>
              <w:rPr>
                <w:rFonts w:ascii="Arial" w:eastAsia="Arial" w:hAnsi="Arial" w:cs="Arial"/>
                <w:color w:val="0070C0"/>
                <w:szCs w:val="19"/>
              </w:rPr>
              <w:t>ly coordinating with DSWD-FO V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for significant disaster response updates.</w:t>
            </w:r>
          </w:p>
          <w:p w14:paraId="5825EFED" w14:textId="0B6F8250" w:rsidR="0050247F" w:rsidRPr="0050247F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50247F">
              <w:rPr>
                <w:rFonts w:ascii="Arial" w:eastAsia="Arial" w:hAnsi="Arial" w:cs="Arial"/>
                <w:color w:val="0070C0"/>
                <w:szCs w:val="19"/>
              </w:rPr>
              <w:t>All QRT members and emergency equipment are on standby and ready for deployment.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CD4A8E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CD4A8E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143FE145" w:rsidR="008B5BDB" w:rsidRP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 w:rsidRPr="008B5BDB">
              <w:rPr>
                <w:rFonts w:ascii="Arial" w:eastAsia="Arial" w:hAnsi="Arial" w:cs="Arial"/>
                <w:color w:val="0070C0"/>
              </w:rPr>
              <w:t>18 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1573F" w14:textId="41A84618" w:rsidR="008B5BDB" w:rsidRP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To date, 3 municipalities were affected by the earthquake incident in Masbate; the municipalities of </w:t>
            </w:r>
            <w:r w:rsidRPr="008B5BDB">
              <w:rPr>
                <w:rFonts w:ascii="Arial" w:eastAsia="Arial" w:hAnsi="Arial" w:cs="Arial"/>
                <w:b/>
                <w:color w:val="0070C0"/>
                <w:szCs w:val="19"/>
              </w:rPr>
              <w:t xml:space="preserve">Cataingan, Pio V. Corpuz,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 xml:space="preserve">and </w:t>
            </w:r>
            <w:r w:rsidRPr="008B5BDB">
              <w:rPr>
                <w:rFonts w:ascii="Arial" w:eastAsia="Arial" w:hAnsi="Arial" w:cs="Arial"/>
                <w:b/>
                <w:color w:val="0070C0"/>
                <w:szCs w:val="19"/>
              </w:rPr>
              <w:t>Palanas.</w:t>
            </w:r>
          </w:p>
          <w:p w14:paraId="25E70016" w14:textId="0DBDB5E0" w:rsidR="008B5BDB" w:rsidRP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8B5BDB">
              <w:rPr>
                <w:rFonts w:ascii="Arial" w:eastAsia="Arial" w:hAnsi="Arial" w:cs="Arial"/>
                <w:color w:val="0070C0"/>
                <w:szCs w:val="19"/>
              </w:rPr>
              <w:lastRenderedPageBreak/>
              <w:t xml:space="preserve">Number of affected families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is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 xml:space="preserve">yet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to be determined.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Ongoing assessment and validation are continuously being conducted. </w:t>
            </w:r>
          </w:p>
          <w:p w14:paraId="42D90DB4" w14:textId="5E693843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8B5BDB">
              <w:rPr>
                <w:rFonts w:ascii="Arial" w:eastAsia="Arial" w:hAnsi="Arial" w:cs="Arial"/>
                <w:b/>
                <w:color w:val="0070C0"/>
                <w:szCs w:val="19"/>
              </w:rPr>
              <w:t>14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houses were </w:t>
            </w:r>
            <w:r w:rsidRPr="008B5BDB">
              <w:rPr>
                <w:rFonts w:ascii="Arial" w:eastAsia="Arial" w:hAnsi="Arial" w:cs="Arial"/>
                <w:b/>
                <w:color w:val="0070C0"/>
                <w:szCs w:val="19"/>
              </w:rPr>
              <w:t>totally damaged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by the earthquake incident. </w:t>
            </w:r>
          </w:p>
          <w:p w14:paraId="76A8BA46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FO V conducts assessment as to the needs/requirements for possible augmentation.</w:t>
            </w:r>
          </w:p>
          <w:p w14:paraId="6A59FAEF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Resource Operation Section ensures the availability of family food packs and non-food items as need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arises.</w:t>
            </w:r>
          </w:p>
          <w:p w14:paraId="628DD493" w14:textId="5EF7437C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PAT and MAT members in Masbate P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rovince are activated and instructed to coordinate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 xml:space="preserve">P/MDRRMOs, C/MSWDOs for significant reports and updates on the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>6.6 magnitude earthquake.</w:t>
            </w:r>
          </w:p>
          <w:p w14:paraId="7A6CE905" w14:textId="6413ACF4" w:rsidR="0050247F" w:rsidRPr="008B5BDB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DRMD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continuous to mon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itor updates and information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510D17F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>DSWD-FO V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6.6 earthquake incident in Cataingan, Masbate</w:t>
      </w:r>
      <w:r w:rsidR="0050247F">
        <w:rPr>
          <w:rFonts w:ascii="Arial" w:eastAsia="Arial" w:hAnsi="Arial" w:cs="Arial"/>
          <w:i/>
          <w:sz w:val="20"/>
          <w:szCs w:val="20"/>
        </w:rPr>
        <w:t>.</w:t>
      </w:r>
    </w:p>
    <w:p w14:paraId="1835D5A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77777777" w:rsidR="008B5BDB" w:rsidRPr="00173E41" w:rsidRDefault="008B5BDB" w:rsidP="008B5BDB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B35A343" w14:textId="4CC5E1BF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4FEF7B" w14:textId="5DF0BC79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AC75859" w14:textId="11A31A2D" w:rsidR="002D200E" w:rsidRPr="0076300F" w:rsidRDefault="008B5BDB" w:rsidP="008B5BDB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sectPr w:rsidR="002D200E" w:rsidRPr="00763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2BEA" w14:textId="77777777" w:rsidR="00377E02" w:rsidRDefault="00377E02">
      <w:r>
        <w:separator/>
      </w:r>
    </w:p>
  </w:endnote>
  <w:endnote w:type="continuationSeparator" w:id="0">
    <w:p w14:paraId="052377A5" w14:textId="77777777" w:rsidR="00377E02" w:rsidRDefault="003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27E3B821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91657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91657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B21B72">
      <w:rPr>
        <w:rFonts w:ascii="Arial" w:eastAsia="Arial" w:hAnsi="Arial" w:cs="Arial"/>
        <w:sz w:val="14"/>
        <w:szCs w:val="14"/>
      </w:rPr>
      <w:t>Report #1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1E1DD1">
      <w:rPr>
        <w:rFonts w:ascii="Arial" w:eastAsia="Arial" w:hAnsi="Arial" w:cs="Arial"/>
        <w:sz w:val="14"/>
        <w:szCs w:val="14"/>
      </w:rPr>
      <w:t xml:space="preserve"> 6.6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r w:rsidR="00287962">
      <w:rPr>
        <w:rFonts w:ascii="Arial" w:eastAsia="Arial" w:hAnsi="Arial" w:cs="Arial"/>
        <w:sz w:val="14"/>
        <w:szCs w:val="14"/>
      </w:rPr>
      <w:t>Cataingan, Masbate</w:t>
    </w:r>
    <w:r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as of 18 August 2020,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FD30" w14:textId="77777777" w:rsidR="00377E02" w:rsidRDefault="00377E02">
      <w:r>
        <w:separator/>
      </w:r>
    </w:p>
  </w:footnote>
  <w:footnote w:type="continuationSeparator" w:id="0">
    <w:p w14:paraId="08BC168D" w14:textId="77777777" w:rsidR="00377E02" w:rsidRDefault="003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2F11-104C-4ECF-8AC9-45235A1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2020-08-18T09:42:00Z</dcterms:created>
  <dcterms:modified xsi:type="dcterms:W3CDTF">2020-08-18T09:42:00Z</dcterms:modified>
</cp:coreProperties>
</file>