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253D9F" w14:textId="2EBE60AA" w:rsidR="00247F48" w:rsidRDefault="00CD5212" w:rsidP="00247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9432B">
        <w:rPr>
          <w:rFonts w:ascii="Arial" w:eastAsia="Arial" w:hAnsi="Arial" w:cs="Arial"/>
          <w:b/>
          <w:sz w:val="32"/>
          <w:szCs w:val="24"/>
        </w:rPr>
        <w:t>DSWD</w:t>
      </w:r>
      <w:r w:rsidR="002A2C8D" w:rsidRPr="00D9432B">
        <w:rPr>
          <w:rFonts w:ascii="Arial" w:eastAsia="Arial" w:hAnsi="Arial" w:cs="Arial"/>
          <w:b/>
          <w:sz w:val="32"/>
          <w:szCs w:val="24"/>
        </w:rPr>
        <w:t xml:space="preserve"> </w:t>
      </w:r>
      <w:r w:rsidRPr="00D9432B">
        <w:rPr>
          <w:rFonts w:ascii="Arial" w:eastAsia="Arial" w:hAnsi="Arial" w:cs="Arial"/>
          <w:b/>
          <w:sz w:val="32"/>
          <w:szCs w:val="24"/>
        </w:rPr>
        <w:t>DROMIC</w:t>
      </w:r>
      <w:r w:rsidR="002A2C8D" w:rsidRPr="00D9432B">
        <w:rPr>
          <w:rFonts w:ascii="Arial" w:eastAsia="Arial" w:hAnsi="Arial" w:cs="Arial"/>
          <w:b/>
          <w:sz w:val="32"/>
          <w:szCs w:val="24"/>
        </w:rPr>
        <w:t xml:space="preserve"> </w:t>
      </w:r>
      <w:r w:rsidR="00F73394">
        <w:rPr>
          <w:rFonts w:ascii="Arial" w:eastAsia="Arial" w:hAnsi="Arial" w:cs="Arial"/>
          <w:b/>
          <w:sz w:val="32"/>
          <w:szCs w:val="24"/>
        </w:rPr>
        <w:t>Terminal Report</w:t>
      </w:r>
      <w:r w:rsidR="002A2C8D" w:rsidRPr="00D9432B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D9432B">
        <w:rPr>
          <w:rFonts w:ascii="Arial" w:eastAsia="Arial" w:hAnsi="Arial" w:cs="Arial"/>
          <w:b/>
          <w:sz w:val="32"/>
          <w:szCs w:val="24"/>
        </w:rPr>
        <w:t>o</w:t>
      </w:r>
      <w:r w:rsidR="00D567C6" w:rsidRPr="00D9432B">
        <w:rPr>
          <w:rFonts w:ascii="Arial" w:eastAsia="Arial" w:hAnsi="Arial" w:cs="Arial"/>
          <w:b/>
          <w:sz w:val="32"/>
          <w:szCs w:val="24"/>
        </w:rPr>
        <w:t>n</w:t>
      </w:r>
      <w:r w:rsidR="002A2C8D" w:rsidRPr="00D9432B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D9432B">
        <w:rPr>
          <w:rFonts w:ascii="Arial" w:eastAsia="Arial" w:hAnsi="Arial" w:cs="Arial"/>
          <w:b/>
          <w:sz w:val="32"/>
          <w:szCs w:val="24"/>
        </w:rPr>
        <w:t>the</w:t>
      </w:r>
      <w:r w:rsidR="00DC7447" w:rsidRPr="00D9432B">
        <w:rPr>
          <w:rFonts w:ascii="Arial" w:eastAsia="Arial" w:hAnsi="Arial" w:cs="Arial"/>
          <w:b/>
          <w:sz w:val="32"/>
          <w:szCs w:val="24"/>
        </w:rPr>
        <w:t xml:space="preserve"> </w:t>
      </w:r>
      <w:r w:rsidR="004D697E" w:rsidRPr="00D9432B">
        <w:rPr>
          <w:rFonts w:ascii="Arial" w:eastAsia="Arial" w:hAnsi="Arial" w:cs="Arial"/>
          <w:b/>
          <w:sz w:val="32"/>
          <w:szCs w:val="24"/>
        </w:rPr>
        <w:t>Flooding</w:t>
      </w:r>
      <w:r w:rsidR="002A2C8D" w:rsidRPr="00D9432B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D9432B">
        <w:rPr>
          <w:rFonts w:ascii="Arial" w:eastAsia="Arial" w:hAnsi="Arial" w:cs="Arial"/>
          <w:b/>
          <w:sz w:val="32"/>
          <w:szCs w:val="24"/>
        </w:rPr>
        <w:t>Incident</w:t>
      </w:r>
      <w:r w:rsidR="00247F48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D9432B">
        <w:rPr>
          <w:rFonts w:ascii="Arial" w:eastAsia="Arial" w:hAnsi="Arial" w:cs="Arial"/>
          <w:b/>
          <w:sz w:val="32"/>
          <w:szCs w:val="24"/>
        </w:rPr>
        <w:t>in</w:t>
      </w:r>
      <w:r w:rsidR="002A2C8D" w:rsidRPr="00D9432B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3346941C" w:rsidR="00000CC0" w:rsidRPr="00D9432B" w:rsidRDefault="00301278" w:rsidP="00247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D9432B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D9432B">
        <w:rPr>
          <w:rFonts w:ascii="Arial" w:eastAsia="Arial" w:hAnsi="Arial" w:cs="Arial"/>
          <w:b/>
          <w:sz w:val="32"/>
          <w:szCs w:val="24"/>
        </w:rPr>
        <w:t xml:space="preserve">. Los Amigos, </w:t>
      </w:r>
      <w:proofErr w:type="spellStart"/>
      <w:r w:rsidRPr="00D9432B">
        <w:rPr>
          <w:rFonts w:ascii="Arial" w:eastAsia="Arial" w:hAnsi="Arial" w:cs="Arial"/>
          <w:b/>
          <w:sz w:val="32"/>
          <w:szCs w:val="24"/>
        </w:rPr>
        <w:t>Tugbok</w:t>
      </w:r>
      <w:proofErr w:type="spellEnd"/>
      <w:r w:rsidRPr="00D9432B">
        <w:rPr>
          <w:rFonts w:ascii="Arial" w:eastAsia="Arial" w:hAnsi="Arial" w:cs="Arial"/>
          <w:b/>
          <w:sz w:val="32"/>
          <w:szCs w:val="24"/>
        </w:rPr>
        <w:t xml:space="preserve"> District</w:t>
      </w:r>
      <w:r w:rsidR="001A51A7">
        <w:rPr>
          <w:rFonts w:ascii="Arial" w:eastAsia="Arial" w:hAnsi="Arial" w:cs="Arial"/>
          <w:b/>
          <w:sz w:val="32"/>
          <w:szCs w:val="24"/>
        </w:rPr>
        <w:t>,</w:t>
      </w:r>
      <w:r w:rsidRPr="00D9432B">
        <w:rPr>
          <w:rFonts w:ascii="Arial" w:eastAsia="Arial" w:hAnsi="Arial" w:cs="Arial"/>
          <w:b/>
          <w:sz w:val="32"/>
          <w:szCs w:val="24"/>
        </w:rPr>
        <w:t xml:space="preserve"> Davao City</w:t>
      </w:r>
    </w:p>
    <w:p w14:paraId="14BF7CE8" w14:textId="0A51D1CD" w:rsidR="00F35CDA" w:rsidRPr="00D9432B" w:rsidRDefault="00F73394" w:rsidP="00D9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 September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9432B">
        <w:rPr>
          <w:rFonts w:ascii="Arial" w:eastAsia="Arial" w:hAnsi="Arial" w:cs="Arial"/>
          <w:sz w:val="24"/>
          <w:szCs w:val="24"/>
        </w:rPr>
        <w:t>2020</w:t>
      </w:r>
      <w:r w:rsidR="001149A2" w:rsidRPr="00D9432B">
        <w:rPr>
          <w:rFonts w:ascii="Arial" w:eastAsia="Arial" w:hAnsi="Arial" w:cs="Arial"/>
          <w:sz w:val="24"/>
          <w:szCs w:val="24"/>
        </w:rPr>
        <w:t>,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AF5C72" w:rsidRPr="00D9432B">
        <w:rPr>
          <w:rFonts w:ascii="Arial" w:eastAsia="Arial" w:hAnsi="Arial" w:cs="Arial"/>
          <w:sz w:val="24"/>
          <w:szCs w:val="24"/>
        </w:rPr>
        <w:t>6</w:t>
      </w:r>
      <w:r w:rsidR="00897287" w:rsidRPr="00D9432B">
        <w:rPr>
          <w:rFonts w:ascii="Arial" w:eastAsia="Arial" w:hAnsi="Arial" w:cs="Arial"/>
          <w:sz w:val="24"/>
          <w:szCs w:val="24"/>
        </w:rPr>
        <w:t>PM</w:t>
      </w:r>
    </w:p>
    <w:p w14:paraId="106EECC5" w14:textId="5311C8B4" w:rsidR="00F27639" w:rsidRDefault="00F27639" w:rsidP="00D9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C4D71C9" w14:textId="77777777" w:rsidR="000E4661" w:rsidRPr="00D9432B" w:rsidRDefault="000E4661" w:rsidP="00D9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42D6894" w14:textId="2BA874C8" w:rsidR="006B3013" w:rsidRPr="000E4661" w:rsidRDefault="006B3013" w:rsidP="006B301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E4661">
        <w:rPr>
          <w:rFonts w:ascii="Arial" w:eastAsia="Arial" w:hAnsi="Arial" w:cs="Arial"/>
          <w:i/>
          <w:sz w:val="24"/>
          <w:szCs w:val="24"/>
        </w:rPr>
        <w:t xml:space="preserve">This is the final report on the overflow that </w:t>
      </w:r>
      <w:r w:rsidR="000E4661" w:rsidRPr="000E4661">
        <w:rPr>
          <w:rFonts w:ascii="Arial" w:eastAsia="Arial" w:hAnsi="Arial" w:cs="Arial"/>
          <w:i/>
          <w:sz w:val="24"/>
          <w:szCs w:val="24"/>
        </w:rPr>
        <w:t xml:space="preserve">occurred on 04 August 2020 </w:t>
      </w:r>
      <w:r w:rsidRPr="000E4661">
        <w:rPr>
          <w:rFonts w:ascii="Arial" w:eastAsia="Arial" w:hAnsi="Arial" w:cs="Arial"/>
          <w:i/>
          <w:sz w:val="24"/>
          <w:szCs w:val="24"/>
        </w:rPr>
        <w:t xml:space="preserve">at </w:t>
      </w:r>
      <w:proofErr w:type="spellStart"/>
      <w:r w:rsidRPr="000E4661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0E4661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0E4661">
        <w:rPr>
          <w:rFonts w:ascii="Arial" w:eastAsia="Arial" w:hAnsi="Arial" w:cs="Arial"/>
          <w:i/>
          <w:sz w:val="24"/>
          <w:szCs w:val="24"/>
        </w:rPr>
        <w:t>Balengaeng</w:t>
      </w:r>
      <w:proofErr w:type="spellEnd"/>
      <w:r w:rsidRPr="000E4661">
        <w:rPr>
          <w:rFonts w:ascii="Arial" w:eastAsia="Arial" w:hAnsi="Arial" w:cs="Arial"/>
          <w:i/>
          <w:sz w:val="24"/>
          <w:szCs w:val="24"/>
        </w:rPr>
        <w:t xml:space="preserve"> creek tributaries of </w:t>
      </w:r>
      <w:proofErr w:type="spellStart"/>
      <w:r w:rsidRPr="000E4661">
        <w:rPr>
          <w:rFonts w:ascii="Arial" w:eastAsia="Arial" w:hAnsi="Arial" w:cs="Arial"/>
          <w:i/>
          <w:sz w:val="24"/>
          <w:szCs w:val="24"/>
        </w:rPr>
        <w:t>Talomo</w:t>
      </w:r>
      <w:proofErr w:type="spellEnd"/>
      <w:r w:rsidRPr="000E4661">
        <w:rPr>
          <w:rFonts w:ascii="Arial" w:eastAsia="Arial" w:hAnsi="Arial" w:cs="Arial"/>
          <w:i/>
          <w:sz w:val="24"/>
          <w:szCs w:val="24"/>
        </w:rPr>
        <w:t xml:space="preserve"> River which resulted to flooding in </w:t>
      </w:r>
      <w:proofErr w:type="spellStart"/>
      <w:r w:rsidRPr="000E4661">
        <w:rPr>
          <w:rFonts w:ascii="Arial" w:eastAsia="Arial" w:hAnsi="Arial" w:cs="Arial"/>
          <w:i/>
          <w:sz w:val="24"/>
          <w:szCs w:val="24"/>
        </w:rPr>
        <w:t>Purok</w:t>
      </w:r>
      <w:proofErr w:type="spellEnd"/>
      <w:r w:rsidRPr="000E4661">
        <w:rPr>
          <w:rFonts w:ascii="Arial" w:eastAsia="Arial" w:hAnsi="Arial" w:cs="Arial"/>
          <w:i/>
          <w:sz w:val="24"/>
          <w:szCs w:val="24"/>
        </w:rPr>
        <w:t xml:space="preserve"> 1b, 4b, and 4a in </w:t>
      </w:r>
      <w:proofErr w:type="spellStart"/>
      <w:r w:rsidRPr="000E4661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0E4661">
        <w:rPr>
          <w:rFonts w:ascii="Arial" w:eastAsia="Arial" w:hAnsi="Arial" w:cs="Arial"/>
          <w:i/>
          <w:sz w:val="24"/>
          <w:szCs w:val="24"/>
        </w:rPr>
        <w:t xml:space="preserve">. Los Amigos, </w:t>
      </w:r>
      <w:proofErr w:type="spellStart"/>
      <w:r w:rsidRPr="000E4661">
        <w:rPr>
          <w:rFonts w:ascii="Arial" w:eastAsia="Arial" w:hAnsi="Arial" w:cs="Arial"/>
          <w:i/>
          <w:sz w:val="24"/>
          <w:szCs w:val="24"/>
        </w:rPr>
        <w:t>Tugbok</w:t>
      </w:r>
      <w:proofErr w:type="spellEnd"/>
      <w:r w:rsidR="000E4661" w:rsidRPr="000E4661">
        <w:rPr>
          <w:rFonts w:ascii="Arial" w:eastAsia="Arial" w:hAnsi="Arial" w:cs="Arial"/>
          <w:i/>
          <w:sz w:val="24"/>
          <w:szCs w:val="24"/>
        </w:rPr>
        <w:t xml:space="preserve"> </w:t>
      </w:r>
      <w:r w:rsidRPr="000E4661">
        <w:rPr>
          <w:rFonts w:ascii="Arial" w:eastAsia="Arial" w:hAnsi="Arial" w:cs="Arial"/>
          <w:i/>
          <w:sz w:val="24"/>
          <w:szCs w:val="24"/>
        </w:rPr>
        <w:t>District, Davao City</w:t>
      </w:r>
      <w:r w:rsidR="000E4661" w:rsidRPr="000E4661">
        <w:rPr>
          <w:rFonts w:ascii="Arial" w:eastAsia="Arial" w:hAnsi="Arial" w:cs="Arial"/>
          <w:i/>
          <w:sz w:val="24"/>
          <w:szCs w:val="24"/>
        </w:rPr>
        <w:t>.</w:t>
      </w:r>
    </w:p>
    <w:p w14:paraId="06B74EF7" w14:textId="48920B3A" w:rsidR="006B6C95" w:rsidRDefault="001149A2" w:rsidP="00D943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60E44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2A2C8D" w:rsidRPr="00C60E4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C60E44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2A2C8D" w:rsidRPr="00C60E4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01278" w:rsidRPr="00C60E44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5C58929" w14:textId="77777777" w:rsidR="000E4661" w:rsidRPr="00C60E44" w:rsidRDefault="000E4661" w:rsidP="00D943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AE0405E" w14:textId="77777777" w:rsidR="009A4112" w:rsidRPr="00D9432B" w:rsidRDefault="009A4112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2C5D1690" w:rsidR="00F27639" w:rsidRPr="00D9432B" w:rsidRDefault="001149A2" w:rsidP="00D9432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9432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E588218" w:rsidR="000146D5" w:rsidRPr="003D54FF" w:rsidRDefault="000146D5" w:rsidP="003D54F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D9432B">
        <w:rPr>
          <w:rFonts w:ascii="Arial" w:eastAsia="Arial" w:hAnsi="Arial" w:cs="Arial"/>
          <w:sz w:val="24"/>
          <w:szCs w:val="24"/>
        </w:rPr>
        <w:t>A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total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of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3D54FF">
        <w:rPr>
          <w:rFonts w:ascii="Arial" w:eastAsia="Arial" w:hAnsi="Arial" w:cs="Arial"/>
          <w:b/>
          <w:color w:val="0070C0"/>
          <w:sz w:val="24"/>
          <w:szCs w:val="24"/>
        </w:rPr>
        <w:t>840</w:t>
      </w:r>
      <w:r w:rsidR="002A2C8D" w:rsidRPr="00D943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A2C8D" w:rsidRPr="00D9432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or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3D54FF">
        <w:rPr>
          <w:rFonts w:ascii="Arial" w:eastAsia="Arial" w:hAnsi="Arial" w:cs="Arial"/>
          <w:b/>
          <w:color w:val="0070C0"/>
          <w:sz w:val="24"/>
          <w:szCs w:val="24"/>
        </w:rPr>
        <w:t>3,364</w:t>
      </w:r>
      <w:r w:rsidR="002A2C8D" w:rsidRPr="00D943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D9432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2A2C8D" w:rsidRPr="00D9432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D9432B">
        <w:rPr>
          <w:rFonts w:ascii="Arial" w:eastAsia="Arial" w:hAnsi="Arial" w:cs="Arial"/>
          <w:sz w:val="24"/>
          <w:szCs w:val="24"/>
        </w:rPr>
        <w:t>were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affected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9432B">
        <w:rPr>
          <w:rFonts w:ascii="Arial" w:eastAsia="Arial" w:hAnsi="Arial" w:cs="Arial"/>
          <w:sz w:val="24"/>
          <w:szCs w:val="24"/>
        </w:rPr>
        <w:t>by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9432B">
        <w:rPr>
          <w:rFonts w:ascii="Arial" w:eastAsia="Arial" w:hAnsi="Arial" w:cs="Arial"/>
          <w:sz w:val="24"/>
          <w:szCs w:val="24"/>
        </w:rPr>
        <w:t>the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805C58" w:rsidRPr="00D9432B">
        <w:rPr>
          <w:rFonts w:ascii="Arial" w:eastAsia="Arial" w:hAnsi="Arial" w:cs="Arial"/>
          <w:sz w:val="24"/>
          <w:szCs w:val="24"/>
        </w:rPr>
        <w:t>flooding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9432B">
        <w:rPr>
          <w:rFonts w:ascii="Arial" w:eastAsia="Arial" w:hAnsi="Arial" w:cs="Arial"/>
          <w:sz w:val="24"/>
          <w:szCs w:val="24"/>
        </w:rPr>
        <w:t>incident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in</w:t>
      </w:r>
      <w:r w:rsidR="00DE2466">
        <w:rPr>
          <w:rFonts w:ascii="Arial" w:eastAsia="Arial" w:hAnsi="Arial" w:cs="Arial"/>
          <w:sz w:val="24"/>
          <w:szCs w:val="24"/>
        </w:rPr>
        <w:t xml:space="preserve"> </w:t>
      </w:r>
      <w:r w:rsidR="00DE2466" w:rsidRPr="00DE2466">
        <w:rPr>
          <w:rFonts w:ascii="Arial" w:eastAsia="Arial" w:hAnsi="Arial" w:cs="Arial"/>
          <w:b/>
          <w:color w:val="0070C0"/>
          <w:sz w:val="24"/>
          <w:szCs w:val="24"/>
        </w:rPr>
        <w:t>4 barangays</w:t>
      </w:r>
      <w:r w:rsidR="00DE2466">
        <w:rPr>
          <w:rFonts w:ascii="Arial" w:eastAsia="Arial" w:hAnsi="Arial" w:cs="Arial"/>
          <w:sz w:val="24"/>
          <w:szCs w:val="24"/>
        </w:rPr>
        <w:t xml:space="preserve"> in</w:t>
      </w:r>
      <w:r w:rsidR="002A2C8D" w:rsidRPr="00D9432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C778B">
        <w:rPr>
          <w:rFonts w:ascii="Arial" w:eastAsia="Arial" w:hAnsi="Arial" w:cs="Arial"/>
          <w:b/>
          <w:color w:val="0070C0"/>
          <w:sz w:val="24"/>
          <w:szCs w:val="24"/>
        </w:rPr>
        <w:t>Tugbok</w:t>
      </w:r>
      <w:proofErr w:type="spellEnd"/>
      <w:r w:rsidR="004C778B">
        <w:rPr>
          <w:rFonts w:ascii="Arial" w:eastAsia="Arial" w:hAnsi="Arial" w:cs="Arial"/>
          <w:b/>
          <w:color w:val="0070C0"/>
          <w:sz w:val="24"/>
          <w:szCs w:val="24"/>
        </w:rPr>
        <w:t xml:space="preserve"> District</w:t>
      </w:r>
      <w:r w:rsidR="00AA4129" w:rsidRPr="00D9432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301278" w:rsidRPr="00D9432B">
        <w:rPr>
          <w:rFonts w:ascii="Arial" w:eastAsia="Arial" w:hAnsi="Arial" w:cs="Arial"/>
          <w:b/>
          <w:color w:val="0070C0"/>
          <w:sz w:val="24"/>
          <w:szCs w:val="24"/>
        </w:rPr>
        <w:t>Davao City</w:t>
      </w:r>
      <w:r w:rsidR="000E21D0" w:rsidRPr="00D943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(see</w:t>
      </w:r>
      <w:bookmarkStart w:id="0" w:name="_GoBack"/>
      <w:bookmarkEnd w:id="0"/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Table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D9432B" w:rsidRDefault="000146D5" w:rsidP="00D9432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2CBD06E0" w:rsidR="000146D5" w:rsidRPr="00BB28D2" w:rsidRDefault="000146D5" w:rsidP="00D9432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1" w:type="pct"/>
        <w:tblInd w:w="421" w:type="dxa"/>
        <w:tblLook w:val="04A0" w:firstRow="1" w:lastRow="0" w:firstColumn="1" w:lastColumn="0" w:noHBand="0" w:noVBand="1"/>
      </w:tblPr>
      <w:tblGrid>
        <w:gridCol w:w="330"/>
        <w:gridCol w:w="4489"/>
        <w:gridCol w:w="1560"/>
        <w:gridCol w:w="1460"/>
        <w:gridCol w:w="1458"/>
      </w:tblGrid>
      <w:tr w:rsidR="00301278" w:rsidRPr="00BB28D2" w14:paraId="2E784297" w14:textId="77777777" w:rsidTr="00301278">
        <w:trPr>
          <w:trHeight w:val="70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92BB30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241CF9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301278" w:rsidRPr="00BB28D2" w14:paraId="5F8ED8BF" w14:textId="77777777" w:rsidTr="00301278">
        <w:trPr>
          <w:trHeight w:val="70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BCECF8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DBCD0B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560EDE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851577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301278" w:rsidRPr="00BB28D2" w14:paraId="76498563" w14:textId="77777777" w:rsidTr="00301278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BA4EFA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7493B4" w14:textId="5B268F70" w:rsidR="00301278" w:rsidRPr="00BB28D2" w:rsidRDefault="00301278" w:rsidP="005D601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5D60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5333C9" w14:textId="12565179" w:rsidR="00301278" w:rsidRPr="00BB28D2" w:rsidRDefault="00301278" w:rsidP="007B6A6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B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840</w:t>
            </w: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F68639" w14:textId="4958E629" w:rsidR="00301278" w:rsidRPr="00BB28D2" w:rsidRDefault="007B6A6A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3,364</w:t>
            </w:r>
            <w:r w:rsidR="00301278"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01278" w:rsidRPr="00BB28D2" w14:paraId="21332375" w14:textId="77777777" w:rsidTr="00301278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F1C00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3221B6" w14:textId="1516471C" w:rsidR="00301278" w:rsidRPr="00BB28D2" w:rsidRDefault="00301278" w:rsidP="005D601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5D60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442ABD" w14:textId="3883A2F5" w:rsidR="00301278" w:rsidRPr="00BB28D2" w:rsidRDefault="00301278" w:rsidP="007B6A6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B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840</w:t>
            </w: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289CF4" w14:textId="0F292181" w:rsidR="00301278" w:rsidRPr="00BB28D2" w:rsidRDefault="007B6A6A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3,364</w:t>
            </w:r>
          </w:p>
        </w:tc>
      </w:tr>
      <w:tr w:rsidR="00301278" w:rsidRPr="00BB28D2" w14:paraId="79407A93" w14:textId="77777777" w:rsidTr="00301278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40BB5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1EE2D" w14:textId="0A1460AE" w:rsidR="00301278" w:rsidRPr="00BB28D2" w:rsidRDefault="005D601E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="00301278"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3B22DE" w14:textId="5E59060B" w:rsidR="00301278" w:rsidRPr="00BB28D2" w:rsidRDefault="00301278" w:rsidP="007B6A6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B6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840</w:t>
            </w: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57569" w14:textId="210CCA01" w:rsidR="00301278" w:rsidRPr="00BB28D2" w:rsidRDefault="007B6A6A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3,364</w:t>
            </w:r>
          </w:p>
        </w:tc>
      </w:tr>
      <w:tr w:rsidR="00301278" w:rsidRPr="00BB28D2" w14:paraId="2E1E7071" w14:textId="77777777" w:rsidTr="0030127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B4599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E382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Davao City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E5C3" w14:textId="37B2BD66" w:rsidR="00301278" w:rsidRPr="00BB28D2" w:rsidRDefault="005D601E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6DA5" w14:textId="5337D94A" w:rsidR="00301278" w:rsidRPr="00BB28D2" w:rsidRDefault="007B6A6A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840</w:t>
            </w:r>
            <w:r w:rsidR="00301278" w:rsidRPr="00BB2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F389" w14:textId="77D19C0D" w:rsidR="00301278" w:rsidRPr="007B6A6A" w:rsidRDefault="007B6A6A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B6A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3,364</w:t>
            </w:r>
          </w:p>
        </w:tc>
      </w:tr>
    </w:tbl>
    <w:p w14:paraId="4365A700" w14:textId="7932FF4C" w:rsidR="002A2C8D" w:rsidRPr="00BB28D2" w:rsidRDefault="00301278" w:rsidP="00D943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28D2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5D5CFD8D" w14:textId="5C7F41E8" w:rsidR="00183FB9" w:rsidRDefault="00183FB9" w:rsidP="00D9432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52F053" w14:textId="1A71B55E" w:rsidR="005B58FB" w:rsidRPr="005B58FB" w:rsidRDefault="005B58FB" w:rsidP="005B58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58FB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4DA896E" w14:textId="77777777" w:rsidR="005B58FB" w:rsidRPr="005B58FB" w:rsidRDefault="005B58FB" w:rsidP="005B58FB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hanging="45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B58FB">
        <w:rPr>
          <w:rFonts w:ascii="Arial" w:hAnsi="Arial" w:cs="Arial"/>
          <w:b/>
          <w:bCs/>
          <w:sz w:val="24"/>
          <w:szCs w:val="24"/>
          <w:shd w:val="clear" w:color="auto" w:fill="FFFFFF"/>
        </w:rPr>
        <w:t>Inside Evacuation Center</w:t>
      </w:r>
    </w:p>
    <w:p w14:paraId="531E2644" w14:textId="760267F5" w:rsidR="005B58FB" w:rsidRPr="005B58FB" w:rsidRDefault="005B58FB" w:rsidP="005B58FB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sz w:val="24"/>
          <w:szCs w:val="24"/>
        </w:rPr>
      </w:pPr>
      <w:r w:rsidRPr="005B58FB">
        <w:rPr>
          <w:rFonts w:ascii="Arial" w:eastAsia="Arial" w:hAnsi="Arial" w:cs="Arial"/>
          <w:sz w:val="24"/>
          <w:szCs w:val="24"/>
        </w:rPr>
        <w:t xml:space="preserve">There were </w:t>
      </w:r>
      <w:r w:rsidR="00895408">
        <w:rPr>
          <w:rFonts w:ascii="Arial" w:eastAsia="Arial" w:hAnsi="Arial" w:cs="Arial"/>
          <w:b/>
          <w:color w:val="0070C0"/>
          <w:sz w:val="24"/>
          <w:szCs w:val="24"/>
        </w:rPr>
        <w:t>354</w:t>
      </w:r>
      <w:r w:rsidRPr="005B58F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B58FB">
        <w:rPr>
          <w:rFonts w:ascii="Arial" w:eastAsia="Arial" w:hAnsi="Arial" w:cs="Arial"/>
          <w:sz w:val="24"/>
          <w:szCs w:val="24"/>
        </w:rPr>
        <w:t xml:space="preserve"> or </w:t>
      </w:r>
      <w:r w:rsidR="00895408">
        <w:rPr>
          <w:rFonts w:ascii="Arial" w:eastAsia="Arial" w:hAnsi="Arial" w:cs="Arial"/>
          <w:b/>
          <w:color w:val="0070C0"/>
          <w:sz w:val="24"/>
          <w:szCs w:val="24"/>
        </w:rPr>
        <w:t>933</w:t>
      </w:r>
      <w:r w:rsidRPr="005B58F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B58FB">
        <w:rPr>
          <w:rFonts w:ascii="Arial" w:eastAsia="Arial" w:hAnsi="Arial" w:cs="Arial"/>
          <w:sz w:val="24"/>
          <w:szCs w:val="24"/>
        </w:rPr>
        <w:t xml:space="preserve"> who took temporary shelter in </w:t>
      </w:r>
      <w:r w:rsidRPr="005B58FB">
        <w:rPr>
          <w:rFonts w:ascii="Arial" w:eastAsia="Arial" w:hAnsi="Arial" w:cs="Arial"/>
          <w:b/>
          <w:color w:val="0070C0"/>
          <w:sz w:val="24"/>
          <w:szCs w:val="24"/>
        </w:rPr>
        <w:t>7 evacuation centers</w:t>
      </w:r>
      <w:r w:rsidRPr="005B58FB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5B58FB">
        <w:rPr>
          <w:rFonts w:ascii="Arial" w:eastAsia="Arial" w:hAnsi="Arial" w:cs="Arial"/>
          <w:b/>
          <w:bCs/>
          <w:color w:val="0070C0"/>
          <w:sz w:val="24"/>
          <w:szCs w:val="24"/>
        </w:rPr>
        <w:t>Talomo</w:t>
      </w:r>
      <w:proofErr w:type="spellEnd"/>
      <w:r w:rsidRPr="005B58F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District,</w:t>
      </w:r>
      <w:r w:rsidRPr="005B58F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5B58FB">
        <w:rPr>
          <w:rFonts w:ascii="Arial" w:eastAsia="Arial" w:hAnsi="Arial" w:cs="Arial"/>
          <w:b/>
          <w:bCs/>
          <w:color w:val="0070C0"/>
          <w:sz w:val="24"/>
          <w:szCs w:val="24"/>
        </w:rPr>
        <w:t>Tugbok</w:t>
      </w:r>
      <w:proofErr w:type="spellEnd"/>
      <w:r w:rsidRPr="005B58F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District </w:t>
      </w:r>
      <w:r w:rsidRPr="005B58FB">
        <w:rPr>
          <w:rFonts w:ascii="Arial" w:eastAsia="Arial" w:hAnsi="Arial" w:cs="Arial"/>
          <w:bCs/>
          <w:sz w:val="24"/>
          <w:szCs w:val="24"/>
        </w:rPr>
        <w:t>and</w:t>
      </w:r>
      <w:r w:rsidRPr="005B58F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5B58FB">
        <w:rPr>
          <w:rFonts w:ascii="Arial" w:eastAsia="Arial" w:hAnsi="Arial" w:cs="Arial"/>
          <w:b/>
          <w:bCs/>
          <w:color w:val="0070C0"/>
          <w:sz w:val="24"/>
          <w:szCs w:val="24"/>
        </w:rPr>
        <w:t>Calinan</w:t>
      </w:r>
      <w:proofErr w:type="spellEnd"/>
      <w:r w:rsidRPr="005B58F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District, Davao City</w:t>
      </w:r>
      <w:r w:rsidRPr="005B58FB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Pr="005B58FB">
        <w:rPr>
          <w:rFonts w:ascii="Arial" w:eastAsia="Arial" w:hAnsi="Arial" w:cs="Arial"/>
          <w:sz w:val="24"/>
          <w:szCs w:val="24"/>
        </w:rPr>
        <w:t>These families have now returned home (see Table 2).</w:t>
      </w:r>
    </w:p>
    <w:p w14:paraId="389CF0A7" w14:textId="77777777" w:rsidR="005B58FB" w:rsidRPr="00D91F5C" w:rsidRDefault="005B58FB" w:rsidP="005B58FB">
      <w:pPr>
        <w:pStyle w:val="ListParagraph"/>
        <w:spacing w:after="0" w:line="240" w:lineRule="auto"/>
        <w:ind w:left="216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7C90138" w14:textId="77777777" w:rsidR="005B58FB" w:rsidRPr="00FE3167" w:rsidRDefault="005B58FB" w:rsidP="005B58FB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 Displaced Families / Persons Inside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406"/>
        <w:gridCol w:w="854"/>
        <w:gridCol w:w="849"/>
        <w:gridCol w:w="852"/>
        <w:gridCol w:w="852"/>
        <w:gridCol w:w="854"/>
        <w:gridCol w:w="947"/>
      </w:tblGrid>
      <w:tr w:rsidR="005B58FB" w:rsidRPr="00804E41" w14:paraId="66C32B35" w14:textId="77777777" w:rsidTr="000E0367">
        <w:trPr>
          <w:trHeight w:val="20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B747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41B66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BF497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5B58FB" w:rsidRPr="00804E41" w14:paraId="39267AA4" w14:textId="77777777" w:rsidTr="000E0367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6EBD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245F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636F1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B58FB" w:rsidRPr="00804E41" w14:paraId="132664FD" w14:textId="77777777" w:rsidTr="000E0367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BD2C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016C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46E2A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2A9B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5B58FB" w:rsidRPr="00804E41" w14:paraId="477A7CFA" w14:textId="77777777" w:rsidTr="000E0367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E7DF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8250F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2A27D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080EF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F1D79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AA431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9C1BE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B58FB" w:rsidRPr="00804E41" w14:paraId="65F408E8" w14:textId="77777777" w:rsidTr="000E0367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94C7A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7AD01" w14:textId="74478075" w:rsidR="005B58FB" w:rsidRPr="00804E41" w:rsidRDefault="005B58FB" w:rsidP="005B58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4BA2F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7671A" w14:textId="344899C6" w:rsidR="005B58FB" w:rsidRPr="00804E41" w:rsidRDefault="00895408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B52F9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ADE1F" w14:textId="5FB8F717" w:rsidR="005B58FB" w:rsidRPr="00804E41" w:rsidRDefault="00895408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7FF90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5B58FB" w:rsidRPr="00804E41" w14:paraId="32A99810" w14:textId="77777777" w:rsidTr="000E0367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6A510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74F86" w14:textId="54CF305F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29310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075F3" w14:textId="44BA1053" w:rsidR="005B58FB" w:rsidRPr="00804E41" w:rsidRDefault="00895408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9BA66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0D411" w14:textId="2DFDD71A" w:rsidR="005B58FB" w:rsidRPr="00804E41" w:rsidRDefault="00895408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45124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5B58FB" w:rsidRPr="00804E41" w14:paraId="75574ACA" w14:textId="77777777" w:rsidTr="000E0367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B6A51" w14:textId="3CD69DDF" w:rsidR="005B58FB" w:rsidRPr="00804E41" w:rsidRDefault="005B58FB" w:rsidP="005B58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Davao del Sur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A6A5D" w14:textId="78851352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F2975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645C5" w14:textId="2BEA0AB3" w:rsidR="005B58FB" w:rsidRPr="00804E41" w:rsidRDefault="00895408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F6F5B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FD944" w14:textId="37B0A1A8" w:rsidR="005B58FB" w:rsidRPr="00804E41" w:rsidRDefault="00895408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ECC10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5B58FB" w:rsidRPr="00804E41" w14:paraId="7B7F332C" w14:textId="77777777" w:rsidTr="000E036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D2470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4E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BBCAC" w14:textId="161476DA" w:rsidR="005B58FB" w:rsidRPr="00804E41" w:rsidRDefault="005B58FB" w:rsidP="000E03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1E01C" w14:textId="793C2B9A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F72E8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F4DD" w14:textId="2972F5D4" w:rsidR="005B58FB" w:rsidRPr="005B58FB" w:rsidRDefault="00895408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9A02C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28250" w14:textId="693FAB85" w:rsidR="005B58FB" w:rsidRPr="00804E41" w:rsidRDefault="00895408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E1819" w14:textId="77777777" w:rsidR="005B58FB" w:rsidRPr="00804E41" w:rsidRDefault="005B58FB" w:rsidP="000E03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446B1BA7" w14:textId="77777777" w:rsidR="005B58FB" w:rsidRDefault="005B58FB" w:rsidP="005B58FB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ource: DSWD-FO XI</w:t>
      </w:r>
    </w:p>
    <w:p w14:paraId="2641728D" w14:textId="64F3B2E3" w:rsidR="00A30756" w:rsidRPr="005B58FB" w:rsidRDefault="00A30756" w:rsidP="005D601E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3FDF4F" w14:textId="66998A2E" w:rsidR="009C189E" w:rsidRPr="009C189E" w:rsidRDefault="009C189E" w:rsidP="009C18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C189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D66BA49" w14:textId="36FFD744" w:rsidR="009C189E" w:rsidRPr="00FE3167" w:rsidRDefault="009C189E" w:rsidP="009C189E">
      <w:pPr>
        <w:pStyle w:val="ListParagraph"/>
        <w:widowControl/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E3167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Pr="00F64C1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F64C1B" w:rsidRPr="00F64C1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490,150.00</w:t>
      </w:r>
      <w:r w:rsidRPr="00F64C1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FB157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worth of assistance</w:t>
      </w:r>
      <w:r w:rsidRPr="00FE3167">
        <w:rPr>
          <w:rFonts w:ascii="Arial" w:hAnsi="Arial" w:cs="Arial"/>
          <w:sz w:val="24"/>
          <w:szCs w:val="24"/>
          <w:shd w:val="clear" w:color="auto" w:fill="FFFFFF"/>
        </w:rPr>
        <w:t xml:space="preserve"> was provided by </w:t>
      </w:r>
      <w:r w:rsidRPr="00F64C1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Pr="00F64C1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FE3167">
        <w:rPr>
          <w:rFonts w:ascii="Arial" w:hAnsi="Arial" w:cs="Arial"/>
          <w:sz w:val="24"/>
          <w:szCs w:val="24"/>
          <w:shd w:val="clear" w:color="auto" w:fill="FFFFFF"/>
        </w:rPr>
        <w:t xml:space="preserve">to the affected families (see Table </w:t>
      </w:r>
      <w:r w:rsidR="005B58FB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FE3167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290546A2" w14:textId="77777777" w:rsidR="009C189E" w:rsidRPr="00FE3167" w:rsidRDefault="009C189E" w:rsidP="009C189E">
      <w:pPr>
        <w:pStyle w:val="ListParagraph"/>
        <w:widowControl/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A736C99" w14:textId="62E2AF1F" w:rsidR="009C189E" w:rsidRPr="00584069" w:rsidRDefault="009C189E" w:rsidP="009C189E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Table </w:t>
      </w:r>
      <w:r w:rsidR="005B58FB">
        <w:rPr>
          <w:rFonts w:ascii="Arial" w:eastAsia="Times New Roman" w:hAnsi="Arial" w:cs="Arial"/>
          <w:b/>
          <w:bCs/>
          <w:i/>
          <w:sz w:val="20"/>
          <w:szCs w:val="20"/>
        </w:rPr>
        <w:t>4</w:t>
      </w: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t>. Cost of Assistance Provided to Affected Families / Persons</w:t>
      </w:r>
    </w:p>
    <w:tbl>
      <w:tblPr>
        <w:tblW w:w="477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2530"/>
        <w:gridCol w:w="1535"/>
        <w:gridCol w:w="1377"/>
        <w:gridCol w:w="902"/>
        <w:gridCol w:w="991"/>
        <w:gridCol w:w="1710"/>
      </w:tblGrid>
      <w:tr w:rsidR="009C189E" w:rsidRPr="00584069" w14:paraId="1D29C0CD" w14:textId="77777777" w:rsidTr="0003397F">
        <w:trPr>
          <w:trHeight w:val="20"/>
        </w:trPr>
        <w:tc>
          <w:tcPr>
            <w:tcW w:w="1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A08D1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0E99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9C189E" w:rsidRPr="00584069" w14:paraId="2A4FA2B7" w14:textId="77777777" w:rsidTr="0003397F">
        <w:trPr>
          <w:trHeight w:val="20"/>
        </w:trPr>
        <w:tc>
          <w:tcPr>
            <w:tcW w:w="1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3B4F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E206F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4141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728E9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96BBA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6ACC9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C189E" w:rsidRPr="00584069" w14:paraId="6E12CC8B" w14:textId="77777777" w:rsidTr="0003397F">
        <w:trPr>
          <w:trHeight w:val="20"/>
        </w:trPr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1E85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9BE90" w14:textId="49D3759A" w:rsidR="009C189E" w:rsidRPr="00584069" w:rsidRDefault="00F64C1B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490,150.00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089E2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66856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D7ECA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5D329" w14:textId="1B4F58D3" w:rsidR="009C189E" w:rsidRPr="00584069" w:rsidRDefault="009C189E" w:rsidP="00F64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4C1B">
              <w:rPr>
                <w:rFonts w:ascii="Arial" w:hAnsi="Arial" w:cs="Arial"/>
                <w:b/>
                <w:bCs/>
                <w:sz w:val="20"/>
                <w:szCs w:val="20"/>
              </w:rPr>
              <w:t>490,150.00</w:t>
            </w: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C189E" w:rsidRPr="00584069" w14:paraId="04ED5068" w14:textId="77777777" w:rsidTr="0003397F">
        <w:trPr>
          <w:trHeight w:val="123"/>
        </w:trPr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DEBFA" w14:textId="509D4373" w:rsidR="009C189E" w:rsidRPr="00584069" w:rsidRDefault="002F0CE1" w:rsidP="000339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C189E"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2BCD8" w14:textId="61A89815" w:rsidR="009C189E" w:rsidRPr="00584069" w:rsidRDefault="00F64C1B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490,150.00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3A14F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00A79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E9554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39B65" w14:textId="42E6CFE6" w:rsidR="009C189E" w:rsidRPr="00584069" w:rsidRDefault="00F64C1B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490,150.00</w:t>
            </w:r>
          </w:p>
        </w:tc>
      </w:tr>
      <w:tr w:rsidR="009C189E" w:rsidRPr="00584069" w14:paraId="16B13FB7" w14:textId="77777777" w:rsidTr="0003397F">
        <w:trPr>
          <w:trHeight w:val="20"/>
        </w:trPr>
        <w:tc>
          <w:tcPr>
            <w:tcW w:w="1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249AD" w14:textId="698DCA9C" w:rsidR="009C189E" w:rsidRPr="00584069" w:rsidRDefault="002F0CE1" w:rsidP="00CF38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C189E" w:rsidRPr="00584069">
              <w:rPr>
                <w:rFonts w:ascii="Arial" w:eastAsia="Arial" w:hAnsi="Arial" w:cs="Arial"/>
                <w:b/>
                <w:sz w:val="20"/>
                <w:szCs w:val="20"/>
              </w:rPr>
              <w:t xml:space="preserve">Davao </w:t>
            </w:r>
            <w:r w:rsidR="00DC475F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CF381E">
              <w:rPr>
                <w:rFonts w:ascii="Arial" w:eastAsia="Arial" w:hAnsi="Arial" w:cs="Arial"/>
                <w:b/>
                <w:sz w:val="20"/>
                <w:szCs w:val="20"/>
              </w:rPr>
              <w:t>el Sur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258C" w14:textId="2D8B12B2" w:rsidR="009C189E" w:rsidRPr="00584069" w:rsidRDefault="00F64C1B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490,150.00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A5270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95FB7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9BED4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AB291" w14:textId="23605AC0" w:rsidR="009C189E" w:rsidRPr="00584069" w:rsidRDefault="00F64C1B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490,150.00</w:t>
            </w:r>
          </w:p>
        </w:tc>
      </w:tr>
      <w:tr w:rsidR="009C189E" w:rsidRPr="00584069" w14:paraId="7DF4D234" w14:textId="77777777" w:rsidTr="0003397F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61D8F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840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8B4C4" w14:textId="6A6C527D" w:rsidR="009C189E" w:rsidRPr="00584069" w:rsidRDefault="0087407A" w:rsidP="000339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B976D" w14:textId="2A8B29C8" w:rsidR="009C189E" w:rsidRPr="00584069" w:rsidRDefault="00F64C1B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490,150.00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CEA5E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7F3B7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D659C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FD900" w14:textId="1954EFEF" w:rsidR="009C189E" w:rsidRPr="00F64C1B" w:rsidRDefault="00F64C1B" w:rsidP="000339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4C1B">
              <w:rPr>
                <w:rFonts w:ascii="Arial" w:hAnsi="Arial" w:cs="Arial"/>
                <w:bCs/>
                <w:i/>
                <w:sz w:val="20"/>
                <w:szCs w:val="20"/>
              </w:rPr>
              <w:t>490,150.00</w:t>
            </w:r>
          </w:p>
        </w:tc>
      </w:tr>
    </w:tbl>
    <w:p w14:paraId="343102D0" w14:textId="77777777" w:rsidR="009C189E" w:rsidRPr="00584069" w:rsidRDefault="009C189E" w:rsidP="009C189E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84069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5EE440BC" w14:textId="0BAB7163" w:rsidR="00115767" w:rsidRPr="009A1079" w:rsidRDefault="001149A2" w:rsidP="00D9432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9A1079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2A2C8D" w:rsidRPr="009A1079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9A1079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55A1A98" w14:textId="77777777" w:rsidR="00943EE9" w:rsidRDefault="00943EE9" w:rsidP="00D943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DCCD025" w:rsidR="001149A2" w:rsidRPr="00D9432B" w:rsidRDefault="001149A2" w:rsidP="00D943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9432B">
        <w:rPr>
          <w:rFonts w:ascii="Arial" w:eastAsia="Arial" w:hAnsi="Arial" w:cs="Arial"/>
          <w:b/>
          <w:sz w:val="24"/>
          <w:szCs w:val="24"/>
        </w:rPr>
        <w:t>DSWD-FO</w:t>
      </w:r>
      <w:r w:rsidR="002A2C8D" w:rsidRPr="00D9432B">
        <w:rPr>
          <w:rFonts w:ascii="Arial" w:eastAsia="Arial" w:hAnsi="Arial" w:cs="Arial"/>
          <w:b/>
          <w:sz w:val="24"/>
          <w:szCs w:val="24"/>
        </w:rPr>
        <w:t xml:space="preserve"> </w:t>
      </w:r>
      <w:r w:rsidR="00301278" w:rsidRPr="00D9432B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B76ABC" w14:paraId="5E7E3044" w14:textId="77777777" w:rsidTr="00832190">
        <w:trPr>
          <w:trHeight w:val="20"/>
          <w:tblHeader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B76ABC" w:rsidRDefault="001149A2" w:rsidP="00D943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48BB662C" w:rsidR="001149A2" w:rsidRPr="00B76ABC" w:rsidRDefault="001149A2" w:rsidP="00D943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2A2C8D" w:rsidRPr="00B76AB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2A2C8D" w:rsidRPr="00B76AB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2A2C8D" w:rsidRPr="00B76AB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B76ABC" w14:paraId="15FC88FB" w14:textId="77777777" w:rsidTr="00CA137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9A56577" w:rsidR="00E938BC" w:rsidRPr="00B76ABC" w:rsidRDefault="001E19F1" w:rsidP="00D943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07 September </w:t>
            </w:r>
            <w:r w:rsidR="00301278" w:rsidRPr="00B76A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CCFF17" w14:textId="77777777" w:rsidR="008718E8" w:rsidRDefault="00301278" w:rsidP="001E19F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B76A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</w:t>
            </w:r>
            <w:r w:rsidR="001E19F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1E19F1" w:rsidRPr="001E19F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1E19F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6C390E1A" w14:textId="02ABAC97" w:rsidR="00913795" w:rsidRDefault="00913795" w:rsidP="00F64C1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 through the Crisis Intervention U</w:t>
            </w:r>
            <w:r w:rsidR="00F64C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 (CIU), provided a total amount </w:t>
            </w:r>
            <w:r w:rsidR="00F64C1B" w:rsidRPr="00C64BF7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F64C1B" w:rsidRPr="006F7469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6F7469" w:rsidRPr="006F7469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₱</w:t>
            </w:r>
            <w:r w:rsidR="00F64C1B" w:rsidRPr="002F0CE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10,000</w:t>
            </w:r>
            <w:r w:rsidR="00F64C1B" w:rsidRPr="006F7469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F64C1B"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families.</w:t>
            </w:r>
          </w:p>
          <w:p w14:paraId="1061E0DF" w14:textId="0F095662" w:rsidR="00F64C1B" w:rsidRPr="00B76ABC" w:rsidRDefault="00F64C1B" w:rsidP="00F64C1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provided a total of </w:t>
            </w:r>
            <w:r w:rsidRPr="002F0CE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1,000 FFPs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families.</w:t>
            </w:r>
          </w:p>
        </w:tc>
      </w:tr>
    </w:tbl>
    <w:p w14:paraId="5F68B04D" w14:textId="77777777" w:rsidR="003C227F" w:rsidRPr="00D9432B" w:rsidRDefault="003C227F" w:rsidP="00D9432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F4704D" w:rsidRDefault="001149A2" w:rsidP="00D9432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F4704D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0268AD29" w:rsidR="00C9090C" w:rsidRPr="00F4704D" w:rsidRDefault="001149A2" w:rsidP="00D9432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386942" w:rsidRPr="00F4704D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DSWD-FO</w:t>
      </w:r>
      <w:r w:rsidR="00AF5C72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="00301278" w:rsidRPr="00F4704D">
        <w:rPr>
          <w:rFonts w:ascii="Arial" w:eastAsia="Arial" w:hAnsi="Arial" w:cs="Arial"/>
          <w:i/>
          <w:sz w:val="20"/>
          <w:szCs w:val="24"/>
        </w:rPr>
        <w:t>XI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</w:rPr>
        <w:t>for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</w:rPr>
        <w:t>any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</w:rPr>
        <w:t>significant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</w:rPr>
        <w:t>disaster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</w:rPr>
        <w:t>response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</w:rPr>
        <w:t>updates.</w:t>
      </w:r>
    </w:p>
    <w:p w14:paraId="5C1C4120" w14:textId="77777777" w:rsidR="00F945BD" w:rsidRDefault="00F945BD" w:rsidP="00D9432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63685C6F" w:rsidR="00F35CDA" w:rsidRPr="00D9432B" w:rsidRDefault="00F35CDA" w:rsidP="00D9432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9432B">
        <w:rPr>
          <w:rFonts w:ascii="Arial" w:eastAsia="Arial" w:hAnsi="Arial" w:cs="Arial"/>
          <w:sz w:val="24"/>
          <w:szCs w:val="24"/>
        </w:rPr>
        <w:t>Prepared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by:</w:t>
      </w:r>
    </w:p>
    <w:p w14:paraId="23151E60" w14:textId="6661E1EE" w:rsidR="00F35CDA" w:rsidRPr="00D9432B" w:rsidRDefault="00F35CDA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76560B" w:rsidR="00F35CDA" w:rsidRDefault="00F73394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3A947E8D" w14:textId="462C563B" w:rsidR="00183FB9" w:rsidRDefault="00183FB9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DF4F08D" w14:textId="77777777" w:rsidR="00350974" w:rsidRPr="00D9432B" w:rsidRDefault="00350974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05487EC" w:rsidR="00AA0B82" w:rsidRPr="00D9432B" w:rsidRDefault="00F73394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7622A65" w14:textId="29AB7DF2" w:rsidR="002E7C76" w:rsidRPr="00D9432B" w:rsidRDefault="00C9090C" w:rsidP="00D9432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9432B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2A2C8D" w:rsidRPr="00D9432B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D9432B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2E7C76" w:rsidRPr="00D9432B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09F9" w14:textId="77777777" w:rsidR="00DF15E5" w:rsidRDefault="00DF15E5">
      <w:pPr>
        <w:spacing w:after="0" w:line="240" w:lineRule="auto"/>
      </w:pPr>
      <w:r>
        <w:separator/>
      </w:r>
    </w:p>
  </w:endnote>
  <w:endnote w:type="continuationSeparator" w:id="0">
    <w:p w14:paraId="26CD7DE1" w14:textId="77777777" w:rsidR="00DF15E5" w:rsidRDefault="00DF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805C58" w:rsidRPr="00E61BD7" w:rsidRDefault="00805C58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3DE5AD3" w:rsidR="00805C58" w:rsidRPr="00E61BD7" w:rsidRDefault="00805C58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DE246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DE246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</w:t>
    </w:r>
    <w:r w:rsidR="009C189E">
      <w:rPr>
        <w:rFonts w:ascii="Arial" w:eastAsia="Arial" w:hAnsi="Arial" w:cs="Arial"/>
        <w:sz w:val="14"/>
        <w:szCs w:val="14"/>
      </w:rPr>
      <w:t>Terminal Report</w:t>
    </w:r>
    <w:r w:rsidRPr="00E61BD7">
      <w:rPr>
        <w:rFonts w:ascii="Arial" w:eastAsia="Arial" w:hAnsi="Arial" w:cs="Arial"/>
        <w:sz w:val="14"/>
        <w:szCs w:val="14"/>
      </w:rPr>
      <w:t xml:space="preserve"> on the </w:t>
    </w:r>
    <w:r>
      <w:rPr>
        <w:rFonts w:ascii="Arial" w:eastAsia="Arial" w:hAnsi="Arial" w:cs="Arial"/>
        <w:sz w:val="14"/>
        <w:szCs w:val="14"/>
      </w:rPr>
      <w:t xml:space="preserve">Flooding </w:t>
    </w:r>
    <w:r w:rsidRPr="00E61BD7">
      <w:rPr>
        <w:rFonts w:ascii="Arial" w:eastAsia="Arial" w:hAnsi="Arial" w:cs="Arial"/>
        <w:sz w:val="14"/>
        <w:szCs w:val="14"/>
      </w:rPr>
      <w:t xml:space="preserve">Incident in </w:t>
    </w:r>
    <w:proofErr w:type="spellStart"/>
    <w:r w:rsidR="00301278">
      <w:rPr>
        <w:rFonts w:ascii="Arial" w:eastAsia="Arial" w:hAnsi="Arial" w:cs="Arial"/>
        <w:sz w:val="14"/>
        <w:szCs w:val="14"/>
      </w:rPr>
      <w:t>Brgy</w:t>
    </w:r>
    <w:proofErr w:type="spellEnd"/>
    <w:r w:rsidR="00301278">
      <w:rPr>
        <w:rFonts w:ascii="Arial" w:eastAsia="Arial" w:hAnsi="Arial" w:cs="Arial"/>
        <w:sz w:val="14"/>
        <w:szCs w:val="14"/>
      </w:rPr>
      <w:t xml:space="preserve">. Los Amigos, </w:t>
    </w:r>
    <w:proofErr w:type="spellStart"/>
    <w:r w:rsidR="00301278">
      <w:rPr>
        <w:rFonts w:ascii="Arial" w:eastAsia="Arial" w:hAnsi="Arial" w:cs="Arial"/>
        <w:sz w:val="14"/>
        <w:szCs w:val="14"/>
      </w:rPr>
      <w:t>Tugbok</w:t>
    </w:r>
    <w:proofErr w:type="spellEnd"/>
    <w:r w:rsidR="00301278">
      <w:rPr>
        <w:rFonts w:ascii="Arial" w:eastAsia="Arial" w:hAnsi="Arial" w:cs="Arial"/>
        <w:sz w:val="14"/>
        <w:szCs w:val="14"/>
      </w:rPr>
      <w:t xml:space="preserve"> District, Davao City</w:t>
    </w:r>
    <w:r w:rsidR="009C189E">
      <w:rPr>
        <w:rFonts w:ascii="Arial" w:eastAsia="Arial" w:hAnsi="Arial" w:cs="Arial"/>
        <w:sz w:val="14"/>
        <w:szCs w:val="14"/>
      </w:rPr>
      <w:t>,</w:t>
    </w:r>
    <w:r>
      <w:rPr>
        <w:rFonts w:ascii="Arial" w:eastAsia="Arial" w:hAnsi="Arial" w:cs="Arial"/>
        <w:sz w:val="14"/>
        <w:szCs w:val="14"/>
      </w:rPr>
      <w:t xml:space="preserve"> </w:t>
    </w:r>
    <w:r w:rsidR="009C189E">
      <w:rPr>
        <w:rFonts w:ascii="Arial" w:eastAsia="Arial" w:hAnsi="Arial" w:cs="Arial"/>
        <w:sz w:val="14"/>
        <w:szCs w:val="14"/>
      </w:rPr>
      <w:t>07 September 2020, 6PM</w:t>
    </w:r>
  </w:p>
  <w:p w14:paraId="0645D380" w14:textId="15C1139D" w:rsidR="00805C58" w:rsidRDefault="00805C58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F1C41" w14:textId="77777777" w:rsidR="00DF15E5" w:rsidRDefault="00DF15E5">
      <w:pPr>
        <w:spacing w:after="0" w:line="240" w:lineRule="auto"/>
      </w:pPr>
      <w:r>
        <w:separator/>
      </w:r>
    </w:p>
  </w:footnote>
  <w:footnote w:type="continuationSeparator" w:id="0">
    <w:p w14:paraId="0AF48B47" w14:textId="77777777" w:rsidR="00DF15E5" w:rsidRDefault="00DF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805C58" w:rsidRDefault="00805C58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05C58" w:rsidRDefault="00805C58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05C58" w:rsidRDefault="00805C58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05C58" w:rsidRPr="00AC4062" w:rsidRDefault="00805C58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6FB68A9"/>
    <w:multiLevelType w:val="hybridMultilevel"/>
    <w:tmpl w:val="10DC18BE"/>
    <w:lvl w:ilvl="0" w:tplc="7B7EF2B0">
      <w:start w:val="6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8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74713"/>
    <w:multiLevelType w:val="hybridMultilevel"/>
    <w:tmpl w:val="32E02172"/>
    <w:lvl w:ilvl="0" w:tplc="D418519C">
      <w:start w:val="5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4"/>
  </w:num>
  <w:num w:numId="5">
    <w:abstractNumId w:val="15"/>
  </w:num>
  <w:num w:numId="6">
    <w:abstractNumId w:val="18"/>
  </w:num>
  <w:num w:numId="7">
    <w:abstractNumId w:val="13"/>
  </w:num>
  <w:num w:numId="8">
    <w:abstractNumId w:val="21"/>
  </w:num>
  <w:num w:numId="9">
    <w:abstractNumId w:val="10"/>
  </w:num>
  <w:num w:numId="10">
    <w:abstractNumId w:val="17"/>
  </w:num>
  <w:num w:numId="11">
    <w:abstractNumId w:val="24"/>
  </w:num>
  <w:num w:numId="12">
    <w:abstractNumId w:val="16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0"/>
  </w:num>
  <w:num w:numId="21">
    <w:abstractNumId w:val="8"/>
  </w:num>
  <w:num w:numId="22">
    <w:abstractNumId w:val="7"/>
  </w:num>
  <w:num w:numId="23">
    <w:abstractNumId w:val="19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4C1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21D0"/>
    <w:rsid w:val="000E38E9"/>
    <w:rsid w:val="000E4661"/>
    <w:rsid w:val="000E5724"/>
    <w:rsid w:val="000F3C29"/>
    <w:rsid w:val="000F4719"/>
    <w:rsid w:val="00103995"/>
    <w:rsid w:val="001045CA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3FB9"/>
    <w:rsid w:val="001847A6"/>
    <w:rsid w:val="00186433"/>
    <w:rsid w:val="00186686"/>
    <w:rsid w:val="001875A2"/>
    <w:rsid w:val="001A2C1F"/>
    <w:rsid w:val="001A51A7"/>
    <w:rsid w:val="001A51F3"/>
    <w:rsid w:val="001B0596"/>
    <w:rsid w:val="001B0D28"/>
    <w:rsid w:val="001B2088"/>
    <w:rsid w:val="001B6619"/>
    <w:rsid w:val="001B76F6"/>
    <w:rsid w:val="001D0AB5"/>
    <w:rsid w:val="001D5294"/>
    <w:rsid w:val="001E0735"/>
    <w:rsid w:val="001E19F1"/>
    <w:rsid w:val="001E33B7"/>
    <w:rsid w:val="001E5781"/>
    <w:rsid w:val="001E5944"/>
    <w:rsid w:val="001E7C23"/>
    <w:rsid w:val="001F0486"/>
    <w:rsid w:val="001F5868"/>
    <w:rsid w:val="00200D36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47F4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A2C8D"/>
    <w:rsid w:val="002B44BD"/>
    <w:rsid w:val="002B62AD"/>
    <w:rsid w:val="002C1B3E"/>
    <w:rsid w:val="002C5E1B"/>
    <w:rsid w:val="002C7968"/>
    <w:rsid w:val="002D320D"/>
    <w:rsid w:val="002D6344"/>
    <w:rsid w:val="002E3C58"/>
    <w:rsid w:val="002E7C76"/>
    <w:rsid w:val="002F0CE1"/>
    <w:rsid w:val="002F29EE"/>
    <w:rsid w:val="002F57CF"/>
    <w:rsid w:val="002F6A3E"/>
    <w:rsid w:val="00300AED"/>
    <w:rsid w:val="00301278"/>
    <w:rsid w:val="00303C07"/>
    <w:rsid w:val="00313CEA"/>
    <w:rsid w:val="003169F2"/>
    <w:rsid w:val="0031795A"/>
    <w:rsid w:val="0033511E"/>
    <w:rsid w:val="0034029A"/>
    <w:rsid w:val="00350210"/>
    <w:rsid w:val="00350974"/>
    <w:rsid w:val="00352A0E"/>
    <w:rsid w:val="00364ECE"/>
    <w:rsid w:val="003705B6"/>
    <w:rsid w:val="00371C7A"/>
    <w:rsid w:val="00385592"/>
    <w:rsid w:val="00386942"/>
    <w:rsid w:val="0039157E"/>
    <w:rsid w:val="003A109B"/>
    <w:rsid w:val="003C227F"/>
    <w:rsid w:val="003C3015"/>
    <w:rsid w:val="003C3F1F"/>
    <w:rsid w:val="003D54FF"/>
    <w:rsid w:val="003D719C"/>
    <w:rsid w:val="003E11C3"/>
    <w:rsid w:val="003E425C"/>
    <w:rsid w:val="003E4B54"/>
    <w:rsid w:val="003F0F20"/>
    <w:rsid w:val="00401C46"/>
    <w:rsid w:val="00401FA4"/>
    <w:rsid w:val="00412747"/>
    <w:rsid w:val="00415BD0"/>
    <w:rsid w:val="0041634E"/>
    <w:rsid w:val="00416CD0"/>
    <w:rsid w:val="00417C8C"/>
    <w:rsid w:val="00422596"/>
    <w:rsid w:val="00422948"/>
    <w:rsid w:val="00423B0F"/>
    <w:rsid w:val="0043447E"/>
    <w:rsid w:val="004347A5"/>
    <w:rsid w:val="004601AB"/>
    <w:rsid w:val="004640AB"/>
    <w:rsid w:val="00465197"/>
    <w:rsid w:val="004664E2"/>
    <w:rsid w:val="00475FE2"/>
    <w:rsid w:val="00477FAD"/>
    <w:rsid w:val="00480560"/>
    <w:rsid w:val="00496F3C"/>
    <w:rsid w:val="004A4E86"/>
    <w:rsid w:val="004B1C4A"/>
    <w:rsid w:val="004B575F"/>
    <w:rsid w:val="004B6643"/>
    <w:rsid w:val="004C0E1C"/>
    <w:rsid w:val="004C3428"/>
    <w:rsid w:val="004C3CAD"/>
    <w:rsid w:val="004C4558"/>
    <w:rsid w:val="004C7623"/>
    <w:rsid w:val="004C778B"/>
    <w:rsid w:val="004D5298"/>
    <w:rsid w:val="004D697E"/>
    <w:rsid w:val="004D6D93"/>
    <w:rsid w:val="004D7978"/>
    <w:rsid w:val="004E49A2"/>
    <w:rsid w:val="004F5AA7"/>
    <w:rsid w:val="0050663A"/>
    <w:rsid w:val="00512F94"/>
    <w:rsid w:val="00513D6C"/>
    <w:rsid w:val="0052595A"/>
    <w:rsid w:val="00535D39"/>
    <w:rsid w:val="00544E1B"/>
    <w:rsid w:val="005479B1"/>
    <w:rsid w:val="00551079"/>
    <w:rsid w:val="005557F6"/>
    <w:rsid w:val="00561E24"/>
    <w:rsid w:val="00573675"/>
    <w:rsid w:val="00575FE0"/>
    <w:rsid w:val="0058197B"/>
    <w:rsid w:val="00581C03"/>
    <w:rsid w:val="005838F4"/>
    <w:rsid w:val="00590B6B"/>
    <w:rsid w:val="005A11E0"/>
    <w:rsid w:val="005B58FB"/>
    <w:rsid w:val="005B7B3E"/>
    <w:rsid w:val="005D172A"/>
    <w:rsid w:val="005D380C"/>
    <w:rsid w:val="005D601E"/>
    <w:rsid w:val="005D77B8"/>
    <w:rsid w:val="005F1BD1"/>
    <w:rsid w:val="005F5EF6"/>
    <w:rsid w:val="0061793C"/>
    <w:rsid w:val="00627E9A"/>
    <w:rsid w:val="00635DDB"/>
    <w:rsid w:val="00642CB1"/>
    <w:rsid w:val="00646F31"/>
    <w:rsid w:val="00651F59"/>
    <w:rsid w:val="006533C7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3013"/>
    <w:rsid w:val="006B5944"/>
    <w:rsid w:val="006B6C95"/>
    <w:rsid w:val="006B7847"/>
    <w:rsid w:val="006C4B1F"/>
    <w:rsid w:val="006C7E5F"/>
    <w:rsid w:val="006D729D"/>
    <w:rsid w:val="006E2A89"/>
    <w:rsid w:val="006F0656"/>
    <w:rsid w:val="006F7469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55255"/>
    <w:rsid w:val="00756A25"/>
    <w:rsid w:val="007676C2"/>
    <w:rsid w:val="00773B3E"/>
    <w:rsid w:val="007802CD"/>
    <w:rsid w:val="007A7D4B"/>
    <w:rsid w:val="007B50B5"/>
    <w:rsid w:val="007B6A6A"/>
    <w:rsid w:val="007B7DAC"/>
    <w:rsid w:val="007D6598"/>
    <w:rsid w:val="007D6982"/>
    <w:rsid w:val="007E1D77"/>
    <w:rsid w:val="007E75A9"/>
    <w:rsid w:val="007F17AE"/>
    <w:rsid w:val="008002F9"/>
    <w:rsid w:val="00805C58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190"/>
    <w:rsid w:val="0083244C"/>
    <w:rsid w:val="00836F5B"/>
    <w:rsid w:val="008524BB"/>
    <w:rsid w:val="008555B6"/>
    <w:rsid w:val="00855DC7"/>
    <w:rsid w:val="00860FB3"/>
    <w:rsid w:val="008610A3"/>
    <w:rsid w:val="008718E8"/>
    <w:rsid w:val="00871F0E"/>
    <w:rsid w:val="0087407A"/>
    <w:rsid w:val="008804F8"/>
    <w:rsid w:val="008856FA"/>
    <w:rsid w:val="00895408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3795"/>
    <w:rsid w:val="0091510D"/>
    <w:rsid w:val="009261BC"/>
    <w:rsid w:val="00927484"/>
    <w:rsid w:val="009279A3"/>
    <w:rsid w:val="009345C3"/>
    <w:rsid w:val="00943713"/>
    <w:rsid w:val="00943EE9"/>
    <w:rsid w:val="00945B92"/>
    <w:rsid w:val="009650AC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1079"/>
    <w:rsid w:val="009A361E"/>
    <w:rsid w:val="009A4112"/>
    <w:rsid w:val="009A535F"/>
    <w:rsid w:val="009A7847"/>
    <w:rsid w:val="009B5C96"/>
    <w:rsid w:val="009C189E"/>
    <w:rsid w:val="009C5F5F"/>
    <w:rsid w:val="009C60CA"/>
    <w:rsid w:val="009D00D2"/>
    <w:rsid w:val="009D5445"/>
    <w:rsid w:val="009D7FD6"/>
    <w:rsid w:val="009E122F"/>
    <w:rsid w:val="00A00D11"/>
    <w:rsid w:val="00A055F1"/>
    <w:rsid w:val="00A062D1"/>
    <w:rsid w:val="00A06F09"/>
    <w:rsid w:val="00A141EC"/>
    <w:rsid w:val="00A203B6"/>
    <w:rsid w:val="00A23135"/>
    <w:rsid w:val="00A26972"/>
    <w:rsid w:val="00A30756"/>
    <w:rsid w:val="00A37A96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4129"/>
    <w:rsid w:val="00AA5B99"/>
    <w:rsid w:val="00AB0324"/>
    <w:rsid w:val="00AB1209"/>
    <w:rsid w:val="00AB701D"/>
    <w:rsid w:val="00AC2538"/>
    <w:rsid w:val="00AC3354"/>
    <w:rsid w:val="00AC4062"/>
    <w:rsid w:val="00AC5192"/>
    <w:rsid w:val="00AC7AE0"/>
    <w:rsid w:val="00AD2091"/>
    <w:rsid w:val="00AE2CE4"/>
    <w:rsid w:val="00AE4DAB"/>
    <w:rsid w:val="00AE7D6B"/>
    <w:rsid w:val="00AF1850"/>
    <w:rsid w:val="00AF2DC0"/>
    <w:rsid w:val="00AF5C72"/>
    <w:rsid w:val="00B0073A"/>
    <w:rsid w:val="00B1185F"/>
    <w:rsid w:val="00B129CD"/>
    <w:rsid w:val="00B246C0"/>
    <w:rsid w:val="00B26CB0"/>
    <w:rsid w:val="00B302C8"/>
    <w:rsid w:val="00B31859"/>
    <w:rsid w:val="00B31F5A"/>
    <w:rsid w:val="00B332D1"/>
    <w:rsid w:val="00B40F59"/>
    <w:rsid w:val="00B50063"/>
    <w:rsid w:val="00B56338"/>
    <w:rsid w:val="00B624F8"/>
    <w:rsid w:val="00B62851"/>
    <w:rsid w:val="00B75DA9"/>
    <w:rsid w:val="00B76ABC"/>
    <w:rsid w:val="00B81D7E"/>
    <w:rsid w:val="00B8201B"/>
    <w:rsid w:val="00B865A2"/>
    <w:rsid w:val="00B86763"/>
    <w:rsid w:val="00BA7DD8"/>
    <w:rsid w:val="00BB28D2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0E44"/>
    <w:rsid w:val="00C6154C"/>
    <w:rsid w:val="00C61BA3"/>
    <w:rsid w:val="00C6292F"/>
    <w:rsid w:val="00C63DB9"/>
    <w:rsid w:val="00C64BF7"/>
    <w:rsid w:val="00C71876"/>
    <w:rsid w:val="00C9090C"/>
    <w:rsid w:val="00C94159"/>
    <w:rsid w:val="00CA1370"/>
    <w:rsid w:val="00CB0E38"/>
    <w:rsid w:val="00CB2783"/>
    <w:rsid w:val="00CB57AA"/>
    <w:rsid w:val="00CC16C3"/>
    <w:rsid w:val="00CC4362"/>
    <w:rsid w:val="00CC69EB"/>
    <w:rsid w:val="00CD15AF"/>
    <w:rsid w:val="00CD315D"/>
    <w:rsid w:val="00CD3F4E"/>
    <w:rsid w:val="00CD5212"/>
    <w:rsid w:val="00CE6E8C"/>
    <w:rsid w:val="00CF381E"/>
    <w:rsid w:val="00D0357D"/>
    <w:rsid w:val="00D05A14"/>
    <w:rsid w:val="00D07BEF"/>
    <w:rsid w:val="00D10EA4"/>
    <w:rsid w:val="00D31C33"/>
    <w:rsid w:val="00D343DF"/>
    <w:rsid w:val="00D52E23"/>
    <w:rsid w:val="00D567C6"/>
    <w:rsid w:val="00D5760C"/>
    <w:rsid w:val="00D61622"/>
    <w:rsid w:val="00D70DA8"/>
    <w:rsid w:val="00D852D5"/>
    <w:rsid w:val="00D863F1"/>
    <w:rsid w:val="00D86B6D"/>
    <w:rsid w:val="00D87D8F"/>
    <w:rsid w:val="00D93F9C"/>
    <w:rsid w:val="00D9432B"/>
    <w:rsid w:val="00D97024"/>
    <w:rsid w:val="00DA3A0B"/>
    <w:rsid w:val="00DB4B44"/>
    <w:rsid w:val="00DC175D"/>
    <w:rsid w:val="00DC2272"/>
    <w:rsid w:val="00DC4256"/>
    <w:rsid w:val="00DC475F"/>
    <w:rsid w:val="00DC7447"/>
    <w:rsid w:val="00DC7C16"/>
    <w:rsid w:val="00DD070D"/>
    <w:rsid w:val="00DD3DDF"/>
    <w:rsid w:val="00DE2466"/>
    <w:rsid w:val="00DE2C90"/>
    <w:rsid w:val="00DE3C86"/>
    <w:rsid w:val="00DF041D"/>
    <w:rsid w:val="00DF15E5"/>
    <w:rsid w:val="00DF4626"/>
    <w:rsid w:val="00E01964"/>
    <w:rsid w:val="00E11E11"/>
    <w:rsid w:val="00E11FE0"/>
    <w:rsid w:val="00E21EBC"/>
    <w:rsid w:val="00E236E0"/>
    <w:rsid w:val="00E31DD3"/>
    <w:rsid w:val="00E32112"/>
    <w:rsid w:val="00E3253B"/>
    <w:rsid w:val="00E3361E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82E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0D7B"/>
    <w:rsid w:val="00F01FE8"/>
    <w:rsid w:val="00F12A81"/>
    <w:rsid w:val="00F221CD"/>
    <w:rsid w:val="00F255EA"/>
    <w:rsid w:val="00F27639"/>
    <w:rsid w:val="00F35CDA"/>
    <w:rsid w:val="00F40606"/>
    <w:rsid w:val="00F460E8"/>
    <w:rsid w:val="00F4704D"/>
    <w:rsid w:val="00F51302"/>
    <w:rsid w:val="00F55BF9"/>
    <w:rsid w:val="00F6280F"/>
    <w:rsid w:val="00F63AF5"/>
    <w:rsid w:val="00F64C1B"/>
    <w:rsid w:val="00F65096"/>
    <w:rsid w:val="00F73394"/>
    <w:rsid w:val="00F75D3D"/>
    <w:rsid w:val="00F81557"/>
    <w:rsid w:val="00F90A76"/>
    <w:rsid w:val="00F945BD"/>
    <w:rsid w:val="00F95CC7"/>
    <w:rsid w:val="00FA3FD5"/>
    <w:rsid w:val="00FA665B"/>
    <w:rsid w:val="00FB157A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Jacinto</cp:lastModifiedBy>
  <cp:revision>25</cp:revision>
  <dcterms:created xsi:type="dcterms:W3CDTF">2020-09-07T03:02:00Z</dcterms:created>
  <dcterms:modified xsi:type="dcterms:W3CDTF">2020-09-07T06:51:00Z</dcterms:modified>
</cp:coreProperties>
</file>