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21818756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D10AF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6E6DE806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FlashFlood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Incident in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Kabacan</w:t>
      </w:r>
      <w:proofErr w:type="spellEnd"/>
      <w:r w:rsidR="005E5FD3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50B165C" w14:textId="1D9AE2A7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087B58">
        <w:rPr>
          <w:rFonts w:ascii="Arial" w:eastAsia="Arial" w:hAnsi="Arial" w:cs="Arial"/>
          <w:sz w:val="24"/>
          <w:szCs w:val="24"/>
        </w:rPr>
        <w:t>as</w:t>
      </w:r>
      <w:proofErr w:type="gramEnd"/>
      <w:r w:rsidRPr="00087B58">
        <w:rPr>
          <w:rFonts w:ascii="Arial" w:eastAsia="Arial" w:hAnsi="Arial" w:cs="Arial"/>
          <w:sz w:val="24"/>
          <w:szCs w:val="24"/>
        </w:rPr>
        <w:t xml:space="preserve"> of </w:t>
      </w:r>
      <w:r w:rsidR="005E5FD3">
        <w:rPr>
          <w:rFonts w:ascii="Arial" w:eastAsia="Arial" w:hAnsi="Arial" w:cs="Arial"/>
          <w:sz w:val="24"/>
          <w:szCs w:val="24"/>
        </w:rPr>
        <w:t>17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5E5FD3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5EC5DDC9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>
        <w:rPr>
          <w:rFonts w:ascii="Arial" w:eastAsia="Arial" w:hAnsi="Arial" w:cs="Arial"/>
          <w:color w:val="000000" w:themeColor="text1"/>
          <w:sz w:val="24"/>
          <w:szCs w:val="24"/>
        </w:rPr>
        <w:t>14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>
        <w:rPr>
          <w:rFonts w:ascii="Arial" w:eastAsia="Arial" w:hAnsi="Arial" w:cs="Arial"/>
          <w:color w:val="000000" w:themeColor="text1"/>
          <w:sz w:val="24"/>
          <w:szCs w:val="24"/>
        </w:rPr>
        <w:t xml:space="preserve"> at around 11:00AM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A10E9C">
        <w:rPr>
          <w:rFonts w:ascii="Arial" w:eastAsia="Times New Roman" w:hAnsi="Arial" w:cs="Arial"/>
          <w:color w:val="auto"/>
          <w:lang w:eastAsia="en-US"/>
        </w:rPr>
        <w:t>Barangays</w:t>
      </w:r>
      <w:r w:rsidR="00043776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043776">
        <w:rPr>
          <w:rFonts w:ascii="Arial" w:eastAsia="Times New Roman" w:hAnsi="Arial" w:cs="Arial"/>
          <w:color w:val="auto"/>
          <w:lang w:eastAsia="en-US"/>
        </w:rPr>
        <w:t>Kayaga</w:t>
      </w:r>
      <w:proofErr w:type="spellEnd"/>
      <w:r w:rsidR="00043776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043776">
        <w:rPr>
          <w:rFonts w:ascii="Arial" w:eastAsia="Times New Roman" w:hAnsi="Arial" w:cs="Arial"/>
          <w:color w:val="auto"/>
          <w:lang w:eastAsia="en-US"/>
        </w:rPr>
        <w:t>Bangilan</w:t>
      </w:r>
      <w:proofErr w:type="spellEnd"/>
      <w:r w:rsidR="00043776">
        <w:rPr>
          <w:rFonts w:ascii="Arial" w:eastAsia="Times New Roman" w:hAnsi="Arial" w:cs="Arial"/>
          <w:color w:val="auto"/>
          <w:lang w:eastAsia="en-US"/>
        </w:rPr>
        <w:t xml:space="preserve"> and </w:t>
      </w:r>
      <w:proofErr w:type="spellStart"/>
      <w:r w:rsidR="00043776">
        <w:rPr>
          <w:rFonts w:ascii="Arial" w:eastAsia="Times New Roman" w:hAnsi="Arial" w:cs="Arial"/>
          <w:color w:val="auto"/>
          <w:lang w:eastAsia="en-US"/>
        </w:rPr>
        <w:t>Malanduague</w:t>
      </w:r>
      <w:proofErr w:type="spellEnd"/>
      <w:r w:rsidR="00043776">
        <w:rPr>
          <w:rFonts w:ascii="Arial" w:eastAsia="Times New Roman" w:hAnsi="Arial" w:cs="Arial"/>
          <w:color w:val="auto"/>
          <w:lang w:eastAsia="en-US"/>
        </w:rPr>
        <w:t xml:space="preserve"> in </w:t>
      </w:r>
      <w:proofErr w:type="spellStart"/>
      <w:r w:rsidR="00043776">
        <w:rPr>
          <w:rFonts w:ascii="Arial" w:eastAsia="Times New Roman" w:hAnsi="Arial" w:cs="Arial"/>
          <w:color w:val="auto"/>
          <w:lang w:eastAsia="en-US"/>
        </w:rPr>
        <w:t>Kabacan</w:t>
      </w:r>
      <w:proofErr w:type="spellEnd"/>
      <w:r w:rsidR="00043776">
        <w:rPr>
          <w:rFonts w:ascii="Arial" w:eastAsia="Times New Roman" w:hAnsi="Arial" w:cs="Arial"/>
          <w:color w:val="auto"/>
          <w:lang w:eastAsia="en-US"/>
        </w:rPr>
        <w:t xml:space="preserve">, North </w:t>
      </w:r>
      <w:proofErr w:type="spellStart"/>
      <w:r w:rsidR="00043776">
        <w:rPr>
          <w:rFonts w:ascii="Arial" w:eastAsia="Times New Roman" w:hAnsi="Arial" w:cs="Arial"/>
          <w:color w:val="auto"/>
          <w:lang w:eastAsia="en-US"/>
        </w:rPr>
        <w:t>Cotabato</w:t>
      </w:r>
      <w:proofErr w:type="spellEnd"/>
      <w:r w:rsidR="000420AD">
        <w:rPr>
          <w:rFonts w:ascii="Arial" w:eastAsia="Times New Roman" w:hAnsi="Arial" w:cs="Arial"/>
          <w:color w:val="auto"/>
          <w:lang w:eastAsia="en-US"/>
        </w:rPr>
        <w:t xml:space="preserve"> due to heavy rains</w:t>
      </w:r>
      <w:r w:rsidR="00DE0554">
        <w:rPr>
          <w:rFonts w:ascii="Arial" w:eastAsia="Times New Roman" w:hAnsi="Arial" w:cs="Arial"/>
          <w:color w:val="auto"/>
          <w:lang w:eastAsia="en-US"/>
        </w:rPr>
        <w:t xml:space="preserve"> that resulted to the displacement</w:t>
      </w:r>
      <w:r w:rsidR="000420AD">
        <w:rPr>
          <w:rFonts w:ascii="Arial" w:eastAsia="Times New Roman" w:hAnsi="Arial" w:cs="Arial"/>
          <w:color w:val="auto"/>
          <w:lang w:eastAsia="en-US"/>
        </w:rPr>
        <w:t xml:space="preserve"> of families and individuals.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B382C6E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420AD">
        <w:rPr>
          <w:rFonts w:ascii="Arial" w:eastAsia="Arial" w:hAnsi="Arial" w:cs="Arial"/>
          <w:b/>
          <w:color w:val="0070C0"/>
          <w:sz w:val="24"/>
          <w:szCs w:val="24"/>
        </w:rPr>
        <w:t>998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>
        <w:rPr>
          <w:rFonts w:ascii="Arial" w:eastAsia="Arial" w:hAnsi="Arial" w:cs="Arial"/>
          <w:b/>
          <w:color w:val="0070C0"/>
          <w:sz w:val="24"/>
          <w:szCs w:val="24"/>
        </w:rPr>
        <w:t>4,990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0420AD">
        <w:rPr>
          <w:rFonts w:ascii="Arial" w:eastAsia="Arial" w:hAnsi="Arial" w:cs="Arial"/>
          <w:b/>
          <w:color w:val="0070C0"/>
          <w:sz w:val="24"/>
          <w:szCs w:val="24"/>
        </w:rPr>
        <w:t>Kabacan</w:t>
      </w:r>
      <w:proofErr w:type="spellEnd"/>
      <w:r w:rsidR="000420AD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0420AD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76E0" w:rsidRPr="00087B58" w14:paraId="6931F1D6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225D86A4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30DCFF94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2AB2D531" w14:textId="4C66A9F7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4,990</w:t>
            </w:r>
          </w:p>
        </w:tc>
      </w:tr>
      <w:tr w:rsidR="009476E0" w:rsidRPr="00087B58" w14:paraId="4026B84A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48AD1400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5FB42F35" w14:textId="6D9BD7C5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1E83ECC8" w14:textId="3140A418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4,990</w:t>
            </w:r>
          </w:p>
        </w:tc>
      </w:tr>
      <w:tr w:rsidR="009476E0" w:rsidRPr="00087B58" w14:paraId="27D881C4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5DA43193" w:rsidR="009476E0" w:rsidRPr="00087B58" w:rsidRDefault="005E5FD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3DA0E19E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6F256AE2" w14:textId="65AB0B5C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098256DE" w14:textId="18B77674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4,990</w:t>
            </w:r>
          </w:p>
        </w:tc>
      </w:tr>
      <w:tr w:rsidR="009476E0" w:rsidRPr="00087B58" w14:paraId="6A00CC87" w14:textId="77777777" w:rsidTr="003836B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61D2AD0E" w:rsidR="009476E0" w:rsidRPr="00087B58" w:rsidRDefault="005E5FD3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84E60" w14:textId="22B72384" w:rsidR="009476E0" w:rsidRPr="00087B58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7F4E" w14:textId="0B7D4254" w:rsidR="009476E0" w:rsidRPr="009476E0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7CFAEE1A" w:rsidR="009476E0" w:rsidRPr="000420AD" w:rsidRDefault="000420AD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0AD">
              <w:rPr>
                <w:rFonts w:ascii="Arial" w:hAnsi="Arial" w:cs="Arial"/>
                <w:i/>
              </w:rPr>
              <w:t>4,990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1FF0B00" w14:textId="423CC7D0" w:rsidR="00E04AE5" w:rsidRPr="00EA3357" w:rsidRDefault="00FC54C7" w:rsidP="00EA33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EA335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EA335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EA335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EA335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EA335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232D86E9" w:rsidR="00E04AE5" w:rsidRPr="009363AB" w:rsidRDefault="00EB153B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E53F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508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E53F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2,540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2 Evacuation Centers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E53FE">
        <w:rPr>
          <w:rFonts w:ascii="Arial" w:eastAsia="Arial" w:hAnsi="Arial" w:cs="Arial"/>
          <w:b/>
          <w:color w:val="0070C0"/>
          <w:sz w:val="24"/>
          <w:szCs w:val="24"/>
        </w:rPr>
        <w:t>Kabacan</w:t>
      </w:r>
      <w:proofErr w:type="spellEnd"/>
      <w:r w:rsidR="00CE53FE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CE53FE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259"/>
        <w:gridCol w:w="911"/>
        <w:gridCol w:w="861"/>
        <w:gridCol w:w="827"/>
        <w:gridCol w:w="861"/>
        <w:gridCol w:w="872"/>
        <w:gridCol w:w="872"/>
      </w:tblGrid>
      <w:tr w:rsidR="009743A1" w:rsidRPr="009743A1" w14:paraId="3148C319" w14:textId="77777777" w:rsidTr="00C95AA8">
        <w:trPr>
          <w:trHeight w:val="20"/>
        </w:trPr>
        <w:tc>
          <w:tcPr>
            <w:tcW w:w="2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C95AA8">
        <w:trPr>
          <w:trHeight w:val="20"/>
        </w:trPr>
        <w:tc>
          <w:tcPr>
            <w:tcW w:w="2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43A1" w:rsidRPr="009743A1" w14:paraId="24FEA5D3" w14:textId="77777777" w:rsidTr="00C95AA8">
        <w:trPr>
          <w:trHeight w:val="20"/>
        </w:trPr>
        <w:tc>
          <w:tcPr>
            <w:tcW w:w="2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43A1" w:rsidRPr="009743A1" w14:paraId="5212BE32" w14:textId="77777777" w:rsidTr="00C95AA8">
        <w:trPr>
          <w:trHeight w:val="20"/>
        </w:trPr>
        <w:tc>
          <w:tcPr>
            <w:tcW w:w="2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76E0" w:rsidRPr="009743A1" w14:paraId="1DC70F96" w14:textId="77777777" w:rsidTr="00C95AA8">
        <w:trPr>
          <w:trHeight w:val="20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7D1D6968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1E251B0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1D1C3119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58F919DB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264D6369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13F573DE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</w:tr>
      <w:tr w:rsidR="009476E0" w:rsidRPr="009743A1" w14:paraId="74015C46" w14:textId="77777777" w:rsidTr="00C95AA8">
        <w:trPr>
          <w:trHeight w:val="20"/>
        </w:trPr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E3D910C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5B3CC28C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76D963BA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75AF4437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64ED0E75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0634EFE0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</w:tr>
      <w:tr w:rsidR="009476E0" w:rsidRPr="009743A1" w14:paraId="6963A298" w14:textId="77777777" w:rsidTr="00C95AA8">
        <w:trPr>
          <w:trHeight w:val="20"/>
        </w:trPr>
        <w:tc>
          <w:tcPr>
            <w:tcW w:w="2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9476E0" w:rsidRPr="009743A1" w:rsidRDefault="00B23744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616DEF3B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861F47E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62950C0F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7092913C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57B877BB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173B43CA" w:rsidR="009476E0" w:rsidRPr="009743A1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2,540</w:t>
            </w:r>
          </w:p>
        </w:tc>
      </w:tr>
      <w:tr w:rsidR="009476E0" w:rsidRPr="009743A1" w14:paraId="24201426" w14:textId="77777777" w:rsidTr="00C95AA8">
        <w:trPr>
          <w:trHeight w:val="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383CE691" w:rsidR="009476E0" w:rsidRPr="009743A1" w:rsidRDefault="00B23744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GoBack"/>
            <w:bookmarkEnd w:id="2"/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4C82A6D4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7C46D03A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0D83BA0C" w:rsidR="009476E0" w:rsidRPr="00CE53FE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3FE">
              <w:rPr>
                <w:rFonts w:ascii="Arial" w:hAnsi="Arial" w:cs="Arial"/>
                <w:i/>
                <w:iCs/>
                <w:sz w:val="20"/>
                <w:szCs w:val="20"/>
              </w:rPr>
              <w:t>508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27370C13" w:rsidR="009476E0" w:rsidRPr="00CE53FE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3FE">
              <w:rPr>
                <w:rFonts w:ascii="Arial" w:hAnsi="Arial" w:cs="Arial"/>
                <w:i/>
                <w:iCs/>
                <w:sz w:val="20"/>
                <w:szCs w:val="20"/>
              </w:rPr>
              <w:t>508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107800C6" w:rsidR="009476E0" w:rsidRPr="00CE53FE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3FE">
              <w:rPr>
                <w:rFonts w:ascii="Arial" w:hAnsi="Arial" w:cs="Arial"/>
                <w:bCs/>
                <w:i/>
                <w:sz w:val="20"/>
                <w:szCs w:val="20"/>
              </w:rPr>
              <w:t>2,540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6A18DF49" w:rsidR="009476E0" w:rsidRPr="00CE53FE" w:rsidRDefault="00CE53FE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53FE">
              <w:rPr>
                <w:rFonts w:ascii="Arial" w:hAnsi="Arial" w:cs="Arial"/>
                <w:bCs/>
                <w:i/>
                <w:sz w:val="20"/>
                <w:szCs w:val="20"/>
              </w:rPr>
              <w:t>2,540</w:t>
            </w:r>
          </w:p>
        </w:tc>
      </w:tr>
    </w:tbl>
    <w:p w14:paraId="0CF61243" w14:textId="5796F8CA" w:rsidR="002D1B51" w:rsidRPr="00087B58" w:rsidRDefault="003B4F43" w:rsidP="003B4F43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3276C8D" w:rsidR="003D0AEA" w:rsidRPr="009B28CF" w:rsidRDefault="00C92A41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4D13FB63" w:rsidR="00B25F5C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29FF549" w14:textId="6DE3AE85" w:rsidR="00EA3357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52AB16BB" w14:textId="77777777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05247EF6" w:rsidR="00A125BA" w:rsidRPr="00A125BA" w:rsidRDefault="00D8654F" w:rsidP="00EB298E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EB298E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October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9174" w14:textId="7BDF4021" w:rsidR="00D8654F" w:rsidRPr="00D8654F" w:rsidRDefault="00D8654F" w:rsidP="00D8654F">
            <w:pPr>
              <w:pStyle w:val="ListParagraph"/>
              <w:numPr>
                <w:ilvl w:val="0"/>
                <w:numId w:val="20"/>
              </w:numPr>
              <w:ind w:left="167" w:hanging="167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through the DRDM staff enjoined the conduct of Rapid Damaged Assessment and Needs Analysis (RDANA) in LGU of </w:t>
            </w:r>
            <w:proofErr w:type="spellStart"/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Kabacan</w:t>
            </w:r>
            <w:proofErr w:type="spellEnd"/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 xml:space="preserve"> together with the OCD XII, PDRRMO, and PSWDO of </w:t>
            </w:r>
            <w:proofErr w:type="spellStart"/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Cotabato</w:t>
            </w:r>
            <w:proofErr w:type="spellEnd"/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Province.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Below are the list of identified immediate needs of the displaced families inside evacuation center:</w:t>
            </w:r>
          </w:p>
          <w:p w14:paraId="7C16FB31" w14:textId="77777777" w:rsidR="00D8654F" w:rsidRPr="00D8654F" w:rsidRDefault="00D8654F" w:rsidP="00D8654F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Laminated Sacks</w:t>
            </w:r>
          </w:p>
          <w:p w14:paraId="18AF71E0" w14:textId="77777777" w:rsidR="00D8654F" w:rsidRPr="00D8654F" w:rsidRDefault="00D8654F" w:rsidP="00D8654F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Family Food Packs</w:t>
            </w:r>
          </w:p>
          <w:p w14:paraId="3D78994B" w14:textId="77777777" w:rsidR="00D8654F" w:rsidRDefault="00D8654F" w:rsidP="00D8654F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Sleeping Mats</w:t>
            </w:r>
          </w:p>
          <w:p w14:paraId="786B86DE" w14:textId="404828AC" w:rsidR="000F2E2F" w:rsidRPr="00D06262" w:rsidRDefault="00D8654F" w:rsidP="000F2E2F">
            <w:pPr>
              <w:pStyle w:val="ListParagraph"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8654F">
              <w:rPr>
                <w:rFonts w:ascii="Arial" w:hAnsi="Arial" w:cs="Arial"/>
                <w:color w:val="0070C0"/>
                <w:sz w:val="20"/>
                <w:szCs w:val="20"/>
              </w:rPr>
              <w:t>Hygiene Kits</w:t>
            </w:r>
          </w:p>
          <w:p w14:paraId="399C50E3" w14:textId="77777777" w:rsidR="000F2E2F" w:rsidRPr="00DE5F45" w:rsidRDefault="000F2E2F" w:rsidP="000F2E2F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5F4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Field Office XII is in close coordination with the MSWDO of </w:t>
            </w:r>
            <w:proofErr w:type="spellStart"/>
            <w:r w:rsidRPr="00DE5F45">
              <w:rPr>
                <w:rFonts w:ascii="Arial" w:hAnsi="Arial" w:cs="Arial"/>
                <w:color w:val="0070C0"/>
                <w:sz w:val="20"/>
                <w:szCs w:val="20"/>
              </w:rPr>
              <w:t>Kabacan</w:t>
            </w:r>
            <w:proofErr w:type="spellEnd"/>
            <w:r w:rsidRPr="00DE5F4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possible technical assistance and resource augmentation. </w:t>
            </w:r>
          </w:p>
          <w:p w14:paraId="3CD7D4D4" w14:textId="77777777" w:rsidR="000F2E2F" w:rsidRPr="00DE5F45" w:rsidRDefault="000F2E2F" w:rsidP="000F2E2F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5F45">
              <w:rPr>
                <w:rFonts w:ascii="Arial" w:hAnsi="Arial" w:cs="Arial"/>
                <w:color w:val="0070C0"/>
                <w:sz w:val="20"/>
                <w:szCs w:val="20"/>
              </w:rPr>
              <w:t>DSWD-Field Office XII through the Response Section convened an emergency meeting for possible field monitoring in the affected areas, meeting includes the following:</w:t>
            </w:r>
          </w:p>
          <w:p w14:paraId="3F0CA3FB" w14:textId="362B1C4D" w:rsidR="000F2E2F" w:rsidRPr="000F2E2F" w:rsidRDefault="000F2E2F" w:rsidP="000F2E2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2E2F">
              <w:rPr>
                <w:rFonts w:ascii="Arial" w:hAnsi="Arial" w:cs="Arial"/>
                <w:color w:val="0070C0"/>
                <w:sz w:val="20"/>
                <w:szCs w:val="20"/>
              </w:rPr>
              <w:t>Consolidation and gathering of data</w:t>
            </w:r>
          </w:p>
          <w:p w14:paraId="506DA7C1" w14:textId="77777777" w:rsidR="000F2E2F" w:rsidRDefault="000F2E2F" w:rsidP="000F2E2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2E2F">
              <w:rPr>
                <w:rFonts w:ascii="Arial" w:hAnsi="Arial" w:cs="Arial"/>
                <w:color w:val="0070C0"/>
                <w:sz w:val="20"/>
                <w:szCs w:val="20"/>
              </w:rPr>
              <w:t>Possible technical assistance and resource augmentation</w:t>
            </w:r>
          </w:p>
          <w:p w14:paraId="2834A34E" w14:textId="5B75C75A" w:rsidR="000F2E2F" w:rsidRPr="000F2E2F" w:rsidRDefault="000F2E2F" w:rsidP="000F2E2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2E2F">
              <w:rPr>
                <w:rFonts w:ascii="Arial" w:hAnsi="Arial" w:cs="Arial"/>
                <w:color w:val="0070C0"/>
                <w:sz w:val="20"/>
                <w:szCs w:val="20"/>
              </w:rPr>
              <w:t>Field monitoring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39880C16" w:rsidR="00470FE4" w:rsidRPr="00087B58" w:rsidRDefault="00B23744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A7BEDD" w14:textId="6B222BA0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8F099C8" w14:textId="764FAAD2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9593791" w14:textId="6BA6990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497130" w14:textId="1045BA95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E138E70" w14:textId="4C7780B3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912EE4" w14:textId="48EACC2A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2A75087" w14:textId="38C2D1EB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FC033B" w14:textId="480AA1DD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F0896E" w14:textId="28F93754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CC6A4D" w14:textId="386E5E78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D2AFE94" w14:textId="24305021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C7EC875" w14:textId="059887DE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A0FDCE" w14:textId="27048A40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388021" w14:textId="38CE8555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DDEF5C" w14:textId="2EDEDAC1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7AF6AE" w14:textId="046AC54E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1FFEEE" w14:textId="760654C1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EE6D04" w14:textId="7EBE712C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08B19F" w14:textId="3C8B8CBE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A33C6C" w14:textId="69B72B58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306C222" w14:textId="527F9872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40838A4" w14:textId="73CC270A" w:rsidR="00C067A2" w:rsidRDefault="00C067A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029E8B" w14:textId="77777777" w:rsidR="00E068D2" w:rsidRDefault="00E068D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D55621" w14:textId="4BE02AAA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1A900" w14:textId="22077817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40B56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1396C8A0" w14:textId="23380286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6C59E7B" w14:textId="68D00C98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0802393" wp14:editId="62D163E0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56" w:rsidRPr="00D40B56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1E7B" w14:textId="77777777" w:rsidR="0029107F" w:rsidRDefault="0029107F">
      <w:pPr>
        <w:spacing w:after="0" w:line="240" w:lineRule="auto"/>
      </w:pPr>
      <w:r>
        <w:separator/>
      </w:r>
    </w:p>
  </w:endnote>
  <w:endnote w:type="continuationSeparator" w:id="0">
    <w:p w14:paraId="225EE3CC" w14:textId="77777777" w:rsidR="0029107F" w:rsidRDefault="0029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BF932A8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627DC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627DC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E5FD3" w:rsidRPr="005E5FD3">
      <w:rPr>
        <w:rFonts w:ascii="Arial" w:hAnsi="Arial" w:cs="Arial"/>
        <w:sz w:val="14"/>
        <w:szCs w:val="16"/>
      </w:rPr>
      <w:t xml:space="preserve">DSWD DROMIC Report #1 on the </w:t>
    </w:r>
    <w:proofErr w:type="spellStart"/>
    <w:r w:rsidR="005E5FD3" w:rsidRPr="005E5FD3">
      <w:rPr>
        <w:rFonts w:ascii="Arial" w:hAnsi="Arial" w:cs="Arial"/>
        <w:sz w:val="14"/>
        <w:szCs w:val="16"/>
      </w:rPr>
      <w:t>FlashFlood</w:t>
    </w:r>
    <w:proofErr w:type="spellEnd"/>
    <w:r w:rsidR="005E5FD3" w:rsidRPr="005E5FD3">
      <w:rPr>
        <w:rFonts w:ascii="Arial" w:hAnsi="Arial" w:cs="Arial"/>
        <w:sz w:val="14"/>
        <w:szCs w:val="16"/>
      </w:rPr>
      <w:t xml:space="preserve"> Incident in </w:t>
    </w:r>
    <w:proofErr w:type="spellStart"/>
    <w:r w:rsidR="005E5FD3" w:rsidRPr="005E5FD3">
      <w:rPr>
        <w:rFonts w:ascii="Arial" w:hAnsi="Arial" w:cs="Arial"/>
        <w:sz w:val="14"/>
        <w:szCs w:val="16"/>
      </w:rPr>
      <w:t>Kabacan</w:t>
    </w:r>
    <w:proofErr w:type="spellEnd"/>
    <w:r w:rsidR="005E5FD3" w:rsidRPr="005E5FD3">
      <w:rPr>
        <w:rFonts w:ascii="Arial" w:hAnsi="Arial" w:cs="Arial"/>
        <w:sz w:val="14"/>
        <w:szCs w:val="16"/>
      </w:rPr>
      <w:t xml:space="preserve">, North </w:t>
    </w:r>
    <w:proofErr w:type="spellStart"/>
    <w:r w:rsidR="005E5FD3" w:rsidRPr="005E5FD3">
      <w:rPr>
        <w:rFonts w:ascii="Arial" w:hAnsi="Arial" w:cs="Arial"/>
        <w:sz w:val="14"/>
        <w:szCs w:val="16"/>
      </w:rPr>
      <w:t>Cotabato</w:t>
    </w:r>
    <w:proofErr w:type="spellEnd"/>
    <w:r w:rsidR="005E5FD3" w:rsidRPr="005E5FD3">
      <w:rPr>
        <w:rFonts w:ascii="Arial" w:hAnsi="Arial" w:cs="Arial"/>
        <w:sz w:val="14"/>
        <w:szCs w:val="16"/>
      </w:rPr>
      <w:t xml:space="preserve"> as of 17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5550" w14:textId="77777777" w:rsidR="0029107F" w:rsidRDefault="0029107F">
      <w:pPr>
        <w:spacing w:after="0" w:line="240" w:lineRule="auto"/>
      </w:pPr>
      <w:r>
        <w:separator/>
      </w:r>
    </w:p>
  </w:footnote>
  <w:footnote w:type="continuationSeparator" w:id="0">
    <w:p w14:paraId="2A9BD2FC" w14:textId="77777777" w:rsidR="0029107F" w:rsidRDefault="0029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4"/>
  </w:num>
  <w:num w:numId="5">
    <w:abstractNumId w:val="9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3"/>
  </w:num>
  <w:num w:numId="16">
    <w:abstractNumId w:val="19"/>
  </w:num>
  <w:num w:numId="17">
    <w:abstractNumId w:val="8"/>
  </w:num>
  <w:num w:numId="18">
    <w:abstractNumId w:val="20"/>
  </w:num>
  <w:num w:numId="19">
    <w:abstractNumId w:val="15"/>
  </w:num>
  <w:num w:numId="20">
    <w:abstractNumId w:val="12"/>
  </w:num>
  <w:num w:numId="21">
    <w:abstractNumId w:val="2"/>
  </w:num>
  <w:num w:numId="22">
    <w:abstractNumId w:val="6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4EAE"/>
    <w:rsid w:val="00A97389"/>
    <w:rsid w:val="00A97CAE"/>
    <w:rsid w:val="00AA4736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83D8-64CD-400C-9EC4-2CC4EA5F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31</cp:revision>
  <dcterms:created xsi:type="dcterms:W3CDTF">2020-10-16T12:51:00Z</dcterms:created>
  <dcterms:modified xsi:type="dcterms:W3CDTF">2020-10-17T04:02:00Z</dcterms:modified>
</cp:coreProperties>
</file>