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9FFB64" w14:textId="67EAD7E4" w:rsidR="001467AB" w:rsidRDefault="001149A2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733D98">
        <w:rPr>
          <w:rFonts w:ascii="Arial" w:eastAsia="Arial" w:hAnsi="Arial" w:cs="Arial"/>
          <w:b/>
          <w:sz w:val="32"/>
          <w:szCs w:val="24"/>
        </w:rPr>
        <w:t>2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629721C6" w:rsidR="001467AB" w:rsidRPr="00DF06D9" w:rsidRDefault="001467AB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p w14:paraId="5A72DFC5" w14:textId="463F81CF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733D98">
        <w:rPr>
          <w:rFonts w:ascii="Arial" w:eastAsia="Arial" w:hAnsi="Arial" w:cs="Arial"/>
          <w:sz w:val="24"/>
          <w:szCs w:val="24"/>
        </w:rPr>
        <w:t>6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409AAB61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25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frontal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intense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Cagayan,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two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also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Metro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Manila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Luzon,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Zamboanga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Peninsula,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Bangsamoro,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Northern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Mindanao,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Caraga,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Visayas.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Flooding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(including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flashfloods),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rain-induced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landslides,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sediment-laden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streamflows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i.e.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lahars)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18424683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93DD5" w:rsidRP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3,582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93DD5" w:rsidRP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15,074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Frontal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System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4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14"/>
        <w:gridCol w:w="1573"/>
        <w:gridCol w:w="1452"/>
        <w:gridCol w:w="1455"/>
      </w:tblGrid>
      <w:tr w:rsidR="00D93DD5" w:rsidRPr="00D93DD5" w14:paraId="4FA190F7" w14:textId="77777777" w:rsidTr="00D93DD5">
        <w:trPr>
          <w:trHeight w:val="58"/>
        </w:trPr>
        <w:tc>
          <w:tcPr>
            <w:tcW w:w="2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47FC29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A1936E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D93DD5" w:rsidRPr="00D93DD5" w14:paraId="4AA3FA07" w14:textId="77777777" w:rsidTr="00D93DD5">
        <w:trPr>
          <w:trHeight w:val="58"/>
        </w:trPr>
        <w:tc>
          <w:tcPr>
            <w:tcW w:w="2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9C633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6566AC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20ADA7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B298FD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D93DD5" w:rsidRPr="00D93DD5" w14:paraId="17A3F3A1" w14:textId="77777777" w:rsidTr="00D93DD5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4C21E5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BD3FA2" w14:textId="3429E52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58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3F03D7" w14:textId="6958352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3,582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832EB6" w14:textId="55A908BA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15,074 </w:t>
            </w:r>
          </w:p>
        </w:tc>
      </w:tr>
      <w:tr w:rsidR="00D93DD5" w:rsidRPr="00D93DD5" w14:paraId="30DE73C6" w14:textId="77777777" w:rsidTr="00D93DD5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C63677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2437F0" w14:textId="2908AC6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2E1AE" w14:textId="6E3E931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3,539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18B4D7" w14:textId="58125DFA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14,890 </w:t>
            </w:r>
          </w:p>
        </w:tc>
      </w:tr>
      <w:tr w:rsidR="00D93DD5" w:rsidRPr="00D93DD5" w14:paraId="62D349C1" w14:textId="77777777" w:rsidTr="00D93DD5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C3A56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6D30E" w14:textId="1C3CF82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55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7B8372" w14:textId="64D6246C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3,535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6E9192" w14:textId="0651F1C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14,867 </w:t>
            </w:r>
          </w:p>
        </w:tc>
      </w:tr>
      <w:tr w:rsidR="00D93DD5" w:rsidRPr="00D93DD5" w14:paraId="142E3F21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16866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F17D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Abulug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197B" w14:textId="70485C4C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720D" w14:textId="1CA5EE7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4BEB" w14:textId="7B7858AC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22 </w:t>
            </w:r>
          </w:p>
        </w:tc>
      </w:tr>
      <w:tr w:rsidR="00D93DD5" w:rsidRPr="00D93DD5" w14:paraId="5B179A4D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896C6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163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98E6D" w14:textId="7A4473D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B4A8" w14:textId="03B62ED0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 3,026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4854" w14:textId="6BA6B0A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 13,153 </w:t>
            </w:r>
          </w:p>
        </w:tc>
      </w:tr>
      <w:tr w:rsidR="00D93DD5" w:rsidRPr="00D93DD5" w14:paraId="44DA30EE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7695E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1C7A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72A6" w14:textId="2B5F1CFC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2DBB" w14:textId="789EE2DF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154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6090" w14:textId="7C863B6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501 </w:t>
            </w:r>
          </w:p>
        </w:tc>
      </w:tr>
      <w:tr w:rsidR="00D93DD5" w:rsidRPr="00D93DD5" w14:paraId="10876BD8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3F248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6323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0B48" w14:textId="6B90908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BF22" w14:textId="07DA8A4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85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41DC" w14:textId="5528A13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330 </w:t>
            </w:r>
          </w:p>
        </w:tc>
      </w:tr>
      <w:tr w:rsidR="00D93DD5" w:rsidRPr="00D93DD5" w14:paraId="70776D27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0E58E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593E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8580" w14:textId="2E23E6A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6195" w14:textId="732754B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38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620D" w14:textId="03B5A2FA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112 </w:t>
            </w:r>
          </w:p>
        </w:tc>
      </w:tr>
      <w:tr w:rsidR="00D93DD5" w:rsidRPr="00D93DD5" w14:paraId="1004C8A4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3689B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CA78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0DFF" w14:textId="6D65E9B9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D684" w14:textId="7D6C1FE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227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487D" w14:textId="4EA034C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749 </w:t>
            </w:r>
          </w:p>
        </w:tc>
      </w:tr>
      <w:tr w:rsidR="00D93DD5" w:rsidRPr="00D93DD5" w14:paraId="0AF1E30A" w14:textId="77777777" w:rsidTr="00D93DD5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1FE4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D44381" w14:textId="74BE89B0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E8CAC" w14:textId="41566EC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D77009" w14:textId="4F82A35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23 </w:t>
            </w:r>
          </w:p>
        </w:tc>
      </w:tr>
      <w:tr w:rsidR="00D93DD5" w:rsidRPr="00D93DD5" w14:paraId="18704CD5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F9AF8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1FF8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3AF3" w14:textId="411F0D0C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2530" w14:textId="5F5900A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8306" w14:textId="5AFC206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</w:tr>
      <w:tr w:rsidR="00D93DD5" w:rsidRPr="00D93DD5" w14:paraId="7156A55B" w14:textId="77777777" w:rsidTr="00D93DD5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03E1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9A4FAB" w14:textId="58D2B07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EF3B1F" w14:textId="6F86BD9F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43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BBF299" w14:textId="114F558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184 </w:t>
            </w:r>
          </w:p>
        </w:tc>
      </w:tr>
      <w:tr w:rsidR="00D93DD5" w:rsidRPr="00D93DD5" w14:paraId="734DC241" w14:textId="77777777" w:rsidTr="00D93DD5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282BB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DFE59" w14:textId="39DA1DB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8381F0" w14:textId="1CFA6ABA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43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C935A" w14:textId="1F2C7EAD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184 </w:t>
            </w:r>
          </w:p>
        </w:tc>
      </w:tr>
      <w:tr w:rsidR="00D93DD5" w:rsidRPr="00D93DD5" w14:paraId="359EA390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225C3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5DE9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BD10" w14:textId="135D1B3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BEDBF" w14:textId="4FEFF64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C978C" w14:textId="012158DC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105 </w:t>
            </w:r>
          </w:p>
        </w:tc>
      </w:tr>
      <w:tr w:rsidR="00D93DD5" w:rsidRPr="00D93DD5" w14:paraId="5FF3E793" w14:textId="77777777" w:rsidTr="00D93D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58CA7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A521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C13F" w14:textId="4F46992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7B0F" w14:textId="7A577AC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BAF4" w14:textId="7F3F296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79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7432040" w14:textId="33652553" w:rsidR="006466CA" w:rsidRPr="00EF58C6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F6CB451" w14:textId="77777777" w:rsidR="006E5529" w:rsidRDefault="006E5529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04ADD2E4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70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>244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7626B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434"/>
        <w:gridCol w:w="853"/>
        <w:gridCol w:w="810"/>
        <w:gridCol w:w="1271"/>
        <w:gridCol w:w="1275"/>
        <w:gridCol w:w="1271"/>
        <w:gridCol w:w="1275"/>
      </w:tblGrid>
      <w:tr w:rsidR="00D93DD5" w:rsidRPr="00D93DD5" w14:paraId="5CEF4FF6" w14:textId="77777777" w:rsidTr="00D93DD5">
        <w:trPr>
          <w:trHeight w:val="20"/>
          <w:tblHeader/>
        </w:trPr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4A290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9D4467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56184F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D93DD5" w:rsidRPr="00D93DD5" w14:paraId="1B043C55" w14:textId="77777777" w:rsidTr="00D93DD5">
        <w:trPr>
          <w:trHeight w:val="20"/>
          <w:tblHeader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7239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D716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7D53CA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D93DD5" w:rsidRPr="00D93DD5" w14:paraId="62E6541F" w14:textId="77777777" w:rsidTr="00D93DD5">
        <w:trPr>
          <w:trHeight w:val="20"/>
          <w:tblHeader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5B7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2B0F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C0C7F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C38587" w14:textId="79B1673A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93DD5" w:rsidRPr="00D93DD5" w14:paraId="4919A0D7" w14:textId="77777777" w:rsidTr="00D93DD5">
        <w:trPr>
          <w:trHeight w:val="20"/>
          <w:tblHeader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1F6D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605D3B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E588F5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C407D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6D2E47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95209B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10805F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D93DD5" w:rsidRPr="00D93DD5" w14:paraId="7EBF9A69" w14:textId="77777777" w:rsidTr="00D93DD5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88C155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6DBD88" w14:textId="11825B2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28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0CFABA" w14:textId="2E47E98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11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FB6FD5" w14:textId="31D0F1B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867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FE3C69" w14:textId="44769D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70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604FB5" w14:textId="0683D29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3,366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DE71C6" w14:textId="1C630A4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244 </w:t>
            </w:r>
          </w:p>
        </w:tc>
      </w:tr>
      <w:tr w:rsidR="00D93DD5" w:rsidRPr="00D93DD5" w14:paraId="12DFA6BE" w14:textId="77777777" w:rsidTr="00D93DD5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939F8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5B37B0" w14:textId="63BDA01D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741F45" w14:textId="5E955663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E08D14" w14:textId="4BA08C3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91317F" w14:textId="402EFBA9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4D171" w14:textId="027B0A3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3,281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83C315" w14:textId="7086027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159 </w:t>
            </w:r>
          </w:p>
        </w:tc>
      </w:tr>
      <w:tr w:rsidR="00D93DD5" w:rsidRPr="00D93DD5" w14:paraId="225618AE" w14:textId="77777777" w:rsidTr="00D93DD5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C7DA6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3D0CBD" w14:textId="1787D549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1E9AC8" w14:textId="1458BBD0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24C89D" w14:textId="40FF49C0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126B2" w14:textId="3F303F7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A65794" w14:textId="11656FB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3,281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7A853C" w14:textId="555573D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159 </w:t>
            </w:r>
          </w:p>
        </w:tc>
      </w:tr>
      <w:tr w:rsidR="00D93DD5" w:rsidRPr="00D93DD5" w14:paraId="4BFD2335" w14:textId="77777777" w:rsidTr="00D93D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D826F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B125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A398" w14:textId="1F3324C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DF2C" w14:textId="165C28B9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9CD6" w14:textId="5ABA7B23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8F57" w14:textId="229ADD30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CF07" w14:textId="272F0939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385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11E4" w14:textId="2C8C7A6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67 </w:t>
            </w:r>
          </w:p>
        </w:tc>
      </w:tr>
      <w:tr w:rsidR="00D93DD5" w:rsidRPr="00D93DD5" w14:paraId="0B20F56C" w14:textId="77777777" w:rsidTr="00D93D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C77C1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F63D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54CF" w14:textId="6F1613E3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4A17" w14:textId="4B2778EC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135F" w14:textId="237108E9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38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F423" w14:textId="5393F44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A746" w14:textId="62746563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909FC" w14:textId="031F7CBA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72 </w:t>
            </w:r>
          </w:p>
        </w:tc>
      </w:tr>
      <w:tr w:rsidR="00D93DD5" w:rsidRPr="00D93DD5" w14:paraId="5F8A6D91" w14:textId="77777777" w:rsidTr="00D93D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3E0DE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53B5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FCEE" w14:textId="6C05C06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F673" w14:textId="60277F4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7843" w14:textId="345C95C0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7E0D" w14:textId="7674E26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9F26" w14:textId="44DA951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35A42" w14:textId="5CFC4B4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</w:tr>
      <w:tr w:rsidR="00D93DD5" w:rsidRPr="00D93DD5" w14:paraId="2985D123" w14:textId="77777777" w:rsidTr="00D93DD5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9A3A7A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C23C41" w14:textId="1A59C62A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8E4C99" w14:textId="62C790E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1D7243" w14:textId="0DB879A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B51E61" w14:textId="73CD7340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5B1EE5" w14:textId="0B5A5A7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BCFEBF" w14:textId="5D659A7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85 </w:t>
            </w:r>
          </w:p>
        </w:tc>
      </w:tr>
      <w:tr w:rsidR="00D93DD5" w:rsidRPr="00D93DD5" w14:paraId="42DD7F03" w14:textId="77777777" w:rsidTr="00D93DD5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4E6FD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0E1F05" w14:textId="36248C0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8FBF9" w14:textId="70046F2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7774B9" w14:textId="6B3859DD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C59AF2" w14:textId="0A3A090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D62987" w14:textId="4CD1BB1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40FC2" w14:textId="76411B9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85 </w:t>
            </w:r>
          </w:p>
        </w:tc>
      </w:tr>
      <w:tr w:rsidR="00D93DD5" w:rsidRPr="00D93DD5" w14:paraId="573DF01F" w14:textId="77777777" w:rsidTr="00D93D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E618B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E7F7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B9BC" w14:textId="6803958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3451" w14:textId="00621BE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EB27" w14:textId="027FA86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2E62" w14:textId="18528C6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18B4" w14:textId="7B90AF1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8695" w14:textId="6738BB1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85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4B2CC76" w14:textId="586258B3" w:rsidR="00EF58C6" w:rsidRPr="00EF58C6" w:rsidRDefault="00EF58C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201F68DC" w:rsidR="00B93C24" w:rsidRPr="00AF7C70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93DD5">
        <w:rPr>
          <w:rFonts w:ascii="Arial" w:eastAsia="Arial" w:hAnsi="Arial" w:cs="Arial"/>
          <w:b/>
          <w:bCs/>
          <w:color w:val="0070C0"/>
          <w:sz w:val="24"/>
          <w:szCs w:val="24"/>
        </w:rPr>
        <w:t>41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93DD5">
        <w:rPr>
          <w:rFonts w:ascii="Arial" w:eastAsia="Arial" w:hAnsi="Arial" w:cs="Arial"/>
          <w:b/>
          <w:bCs/>
          <w:color w:val="0070C0"/>
          <w:sz w:val="24"/>
          <w:szCs w:val="24"/>
        </w:rPr>
        <w:t>130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temporarily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stayed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8A28C8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531CB4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6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999"/>
        <w:gridCol w:w="1540"/>
        <w:gridCol w:w="1540"/>
        <w:gridCol w:w="1540"/>
        <w:gridCol w:w="1536"/>
      </w:tblGrid>
      <w:tr w:rsidR="00D93DD5" w:rsidRPr="00D93DD5" w14:paraId="42CC7EA2" w14:textId="77777777" w:rsidTr="00D93DD5">
        <w:trPr>
          <w:trHeight w:val="20"/>
        </w:trPr>
        <w:tc>
          <w:tcPr>
            <w:tcW w:w="1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6DFEA1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CE20C9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D93DD5" w:rsidRPr="00D93DD5" w14:paraId="469670EE" w14:textId="77777777" w:rsidTr="00D93DD5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EEDC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3237E0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D93DD5" w:rsidRPr="00D93DD5" w14:paraId="0276305F" w14:textId="77777777" w:rsidTr="00D93DD5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2B29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BF8F6C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EDFFAB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D93DD5" w:rsidRPr="00D93DD5" w14:paraId="51FD3492" w14:textId="77777777" w:rsidTr="00D93DD5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598C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BA09B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1337EA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54EE8B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4FF880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D93DD5" w:rsidRPr="00D93DD5" w14:paraId="11FDFBBC" w14:textId="77777777" w:rsidTr="00D93DD5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CBCEEF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CE8D7A" w14:textId="1E4EAB4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348 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165576" w14:textId="517241E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41 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D98F66" w14:textId="4576B67F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1,549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5EF586" w14:textId="669CEB8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130 </w:t>
            </w:r>
          </w:p>
        </w:tc>
      </w:tr>
      <w:tr w:rsidR="00D93DD5" w:rsidRPr="00D93DD5" w14:paraId="099DC51E" w14:textId="77777777" w:rsidTr="00D93DD5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F1E0F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20F937" w14:textId="3AB0D5A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336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05B608" w14:textId="17BB6B3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29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251EE8" w14:textId="58EE2504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1,499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1F877E" w14:textId="2F82D00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80 </w:t>
            </w:r>
          </w:p>
        </w:tc>
      </w:tr>
      <w:tr w:rsidR="00D93DD5" w:rsidRPr="00D93DD5" w14:paraId="7D463699" w14:textId="77777777" w:rsidTr="00D93DD5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FC94C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FA2156" w14:textId="5AABC1A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336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DD809D" w14:textId="72E4C98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29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9BCC7F" w14:textId="5DDEBE51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 1,499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00F1B9" w14:textId="21C884A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80 </w:t>
            </w:r>
          </w:p>
        </w:tc>
      </w:tr>
      <w:tr w:rsidR="00D93DD5" w:rsidRPr="00D93DD5" w14:paraId="2EB260EA" w14:textId="77777777" w:rsidTr="00D93DD5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9771C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1376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Santa Praxedes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68BC" w14:textId="3FDDD35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F073" w14:textId="0184259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6B3B" w14:textId="1299E6EF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80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8F39" w14:textId="5C62117A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80 </w:t>
            </w:r>
          </w:p>
        </w:tc>
      </w:tr>
      <w:tr w:rsidR="00D93DD5" w:rsidRPr="00D93DD5" w14:paraId="473D2839" w14:textId="77777777" w:rsidTr="00D93DD5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3CB75E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535A22" w14:textId="1916947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B57AAE" w14:textId="136957F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0451F" w14:textId="226E9A4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D87CEB" w14:textId="3FF13D70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</w:tr>
      <w:tr w:rsidR="00D93DD5" w:rsidRPr="00D93DD5" w14:paraId="3B4B9F0A" w14:textId="77777777" w:rsidTr="00D93DD5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CFF6E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1FE7F2" w14:textId="1594BFA5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11DF3E" w14:textId="6D1D2DC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E2D6F" w14:textId="2C72085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1C1FB" w14:textId="14972FBD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93DD5">
              <w:rPr>
                <w:rFonts w:ascii="Arial" w:hAnsi="Arial" w:cs="Arial"/>
                <w:b/>
                <w:bCs/>
                <w:color w:val="000000"/>
              </w:rPr>
              <w:t xml:space="preserve">50 </w:t>
            </w:r>
          </w:p>
        </w:tc>
      </w:tr>
      <w:tr w:rsidR="00D93DD5" w:rsidRPr="00D93DD5" w14:paraId="1CD17799" w14:textId="77777777" w:rsidTr="00D93DD5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108D7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0184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Calanasan (Bayag)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DD86" w14:textId="2FA60C36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3CD6" w14:textId="522926B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D1CE" w14:textId="6F39280E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B38A" w14:textId="4E065A0B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</w:tr>
      <w:tr w:rsidR="00D93DD5" w:rsidRPr="00D93DD5" w14:paraId="44A4FED3" w14:textId="77777777" w:rsidTr="00D93DD5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5E07B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93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957D" w14:textId="77777777" w:rsidR="00D93DD5" w:rsidRPr="00D93DD5" w:rsidRDefault="00D93DD5" w:rsidP="00D93D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CF34" w14:textId="1E1CC9D2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BBDC" w14:textId="7D4B6B0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A2B8" w14:textId="1467C29A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1E5E" w14:textId="2C2EED88" w:rsidR="00D93DD5" w:rsidRPr="00D93DD5" w:rsidRDefault="00D93DD5" w:rsidP="00D93D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93DD5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8A67A53" w14:textId="7185F769" w:rsidR="00390262" w:rsidRPr="00531CB4" w:rsidRDefault="00D72DD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E9E58EB" w14:textId="77777777" w:rsidR="00227A76" w:rsidRDefault="00227A76" w:rsidP="00227A76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1ABE37E1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2C360C8B" w:rsidR="00531CB4" w:rsidRPr="00D93DD5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D93DD5">
        <w:rPr>
          <w:rFonts w:ascii="Arial" w:eastAsia="Arial" w:hAnsi="Arial" w:cs="Arial"/>
          <w:bCs/>
          <w:sz w:val="24"/>
          <w:szCs w:val="24"/>
        </w:rPr>
        <w:t>A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/>
          <w:sz w:val="24"/>
          <w:szCs w:val="24"/>
        </w:rPr>
        <w:t>₱</w:t>
      </w:r>
      <w:r w:rsidR="00BD5B7C" w:rsidRPr="00D93DD5">
        <w:rPr>
          <w:rFonts w:ascii="Arial" w:eastAsia="Arial" w:hAnsi="Arial" w:cs="Arial"/>
          <w:b/>
          <w:sz w:val="24"/>
          <w:szCs w:val="24"/>
        </w:rPr>
        <w:t xml:space="preserve">470,000.00 </w:t>
      </w:r>
      <w:r w:rsidRPr="00D93DD5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provided by </w:t>
      </w:r>
      <w:r w:rsidR="00BD5B7C" w:rsidRPr="00D93DD5">
        <w:rPr>
          <w:rFonts w:ascii="Arial" w:eastAsia="Arial" w:hAnsi="Arial" w:cs="Arial"/>
          <w:b/>
          <w:bCs/>
          <w:sz w:val="24"/>
          <w:szCs w:val="24"/>
        </w:rPr>
        <w:t>DSWD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to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D93DD5">
        <w:rPr>
          <w:rFonts w:ascii="Arial" w:eastAsia="Arial" w:hAnsi="Arial" w:cs="Arial"/>
          <w:bCs/>
          <w:sz w:val="24"/>
          <w:szCs w:val="24"/>
        </w:rPr>
        <w:t>families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4).</w:t>
      </w:r>
    </w:p>
    <w:p w14:paraId="5E682F8D" w14:textId="77777777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bookmarkStart w:id="1" w:name="_GoBack"/>
      <w:bookmarkEnd w:id="1"/>
    </w:p>
    <w:p w14:paraId="2734FC07" w14:textId="04E5F467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D5B7C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05" w:type="pct"/>
        <w:tblInd w:w="383" w:type="dxa"/>
        <w:tblLook w:val="04A0" w:firstRow="1" w:lastRow="0" w:firstColumn="1" w:lastColumn="0" w:noHBand="0" w:noVBand="1"/>
      </w:tblPr>
      <w:tblGrid>
        <w:gridCol w:w="386"/>
        <w:gridCol w:w="1253"/>
        <w:gridCol w:w="1544"/>
        <w:gridCol w:w="1544"/>
        <w:gridCol w:w="1544"/>
        <w:gridCol w:w="1544"/>
        <w:gridCol w:w="1542"/>
      </w:tblGrid>
      <w:tr w:rsidR="00531CB4" w:rsidRPr="00531CB4" w14:paraId="41FD5461" w14:textId="77777777" w:rsidTr="00531CB4">
        <w:trPr>
          <w:trHeight w:val="20"/>
        </w:trPr>
        <w:tc>
          <w:tcPr>
            <w:tcW w:w="8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AF178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27693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1ADB30BC" w14:textId="77777777" w:rsidTr="00531CB4">
        <w:trPr>
          <w:trHeight w:val="20"/>
        </w:trPr>
        <w:tc>
          <w:tcPr>
            <w:tcW w:w="8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E9AD373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AE9DD3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E96039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1D49D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A7975A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661908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4812FBB2" w14:textId="77777777" w:rsidTr="00531CB4">
        <w:trPr>
          <w:trHeight w:val="2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95431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4FC8F9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DDC4E2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D6F66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B8BC1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15A2C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08EC808C" w14:textId="77777777" w:rsidTr="00531CB4">
        <w:trPr>
          <w:trHeight w:val="2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4EAD1D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53F605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411F86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073786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DF2AB0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7573E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66131B2C" w14:textId="77777777" w:rsidTr="00531CB4">
        <w:trPr>
          <w:trHeight w:val="2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C3899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43933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3177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91EEF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4685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42102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0D274177" w14:textId="77777777" w:rsidTr="00531CB4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51D6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32F8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1EB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75C1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18CC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1FF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99C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</w:tbl>
    <w:p w14:paraId="63D70635" w14:textId="7AC75BC3" w:rsidR="00531CB4" w:rsidRPr="00531CB4" w:rsidRDefault="00531CB4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3F5E955" w14:textId="77777777" w:rsidR="00531CB4" w:rsidRDefault="00531CB4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1BF15611" w:rsidR="004818A5" w:rsidRPr="00227A76" w:rsidRDefault="00830A87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733D98">
              <w:rPr>
                <w:rFonts w:ascii="Arial" w:eastAsia="Arial" w:hAnsi="Arial" w:cs="Arial"/>
                <w:color w:val="0070C0"/>
                <w:sz w:val="19"/>
                <w:szCs w:val="19"/>
              </w:rPr>
              <w:t>6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DB4F03" w:rsidRPr="00227A76" w14:paraId="69CF665B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0883C306" w:rsidR="00902F26" w:rsidRPr="00733D98" w:rsidRDefault="002A4F48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25</w:t>
            </w:r>
            <w:r w:rsidR="00531CB4" w:rsidRPr="00733D9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02F26" w:rsidRPr="00733D98">
              <w:rPr>
                <w:rFonts w:ascii="Arial" w:eastAsia="Arial" w:hAnsi="Arial" w:cs="Arial"/>
                <w:sz w:val="19"/>
                <w:szCs w:val="19"/>
              </w:rPr>
              <w:t>October</w:t>
            </w:r>
            <w:r w:rsidR="00531CB4" w:rsidRPr="00733D9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02F26" w:rsidRPr="00733D98">
              <w:rPr>
                <w:rFonts w:ascii="Arial" w:eastAsia="Arial" w:hAnsi="Arial" w:cs="Arial"/>
                <w:sz w:val="19"/>
                <w:szCs w:val="19"/>
              </w:rPr>
              <w:t>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D4932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The Disaster Response Management Division (DRMD) of DSWD-FO CAR plans to preposition food and non-food items (FNFIs) to identified warehouses. The DRMD is currently identifying and coordinating with other agencies/organizations for warehouses.</w:t>
            </w:r>
          </w:p>
          <w:p w14:paraId="3F8028EF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The DRMD staff are on standby to render duty at the Operations Center and monitored the status on the ground as well as the alert level status and weather updates.</w:t>
            </w:r>
          </w:p>
          <w:p w14:paraId="2BCFAE3B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The Provincial Social Welfare and Development Teams (PSWADT) DRMD PDO IIs were informed of the situation.</w:t>
            </w:r>
          </w:p>
          <w:p w14:paraId="5E5F1C26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Municipal Action Teams are on standby.</w:t>
            </w:r>
          </w:p>
          <w:p w14:paraId="7E4D429E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Continuous coordination by the DRMD PDO IIs assigned in the PSWADTs with the LDRRMOs for updates.</w:t>
            </w:r>
          </w:p>
          <w:p w14:paraId="615498BD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19768C46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DSWD-FO CAR prepared reports regarding weather disturbance and shared it to the end users.</w:t>
            </w:r>
          </w:p>
          <w:p w14:paraId="235C31E6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 xml:space="preserve">Ms. Mary Ann G. Buclao attended the Pre-disaster Risk Assessment Meeting via video teleconferencing. </w:t>
            </w:r>
          </w:p>
          <w:p w14:paraId="1AC52BFF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  <w:p w14:paraId="76E0915E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QRT and Delta Teams are on standby for possible deployment.</w:t>
            </w:r>
          </w:p>
          <w:p w14:paraId="73224887" w14:textId="7777777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Susceptibility map were cascaded to PSWADTs for their guidance.</w:t>
            </w:r>
          </w:p>
          <w:p w14:paraId="54FBC6AD" w14:textId="378F4CF7" w:rsidR="002A4F48" w:rsidRPr="00733D98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33D98">
              <w:rPr>
                <w:rFonts w:ascii="Arial" w:eastAsia="Arial" w:hAnsi="Arial" w:cs="Arial"/>
                <w:sz w:val="19"/>
                <w:szCs w:val="19"/>
              </w:rPr>
              <w:t>Evacuation Center list was updated for dissemination.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34AEDDC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1A2DB6" w:rsidRPr="00227A76" w14:paraId="01DEED40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10672A39" w:rsidR="00266BF5" w:rsidRPr="008F7222" w:rsidRDefault="008F7222" w:rsidP="008F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26 </w:t>
            </w:r>
            <w:r w:rsidR="00266BF5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266BF5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BC936" w14:textId="77777777" w:rsidR="008F7222" w:rsidRDefault="008F7222" w:rsidP="008F7222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As of this report, evacuees from San Julian, Abulug, Cagayan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were assisted in going back to their respective houses as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rainfall and strong winds abated in their area. Likewise,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evacuees from Claveria, Cagayan were also given assistance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as they go back to their houses.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</w:p>
          <w:p w14:paraId="257C33A9" w14:textId="77777777" w:rsidR="008F7222" w:rsidRDefault="008F7222" w:rsidP="008F7222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DRMD-DMRT, SWADTs and MATs of Cagayan (2nd district)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is still on a 24 hour duty to monitor the situation of the affected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families.</w:t>
            </w:r>
          </w:p>
          <w:p w14:paraId="5B1D0C0B" w14:textId="77777777" w:rsidR="008F7222" w:rsidRDefault="008F7222" w:rsidP="008F7222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coordination with P/MSWDOs with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P/LDRRMC on the concerns needed to be addressed by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FO.</w:t>
            </w:r>
          </w:p>
          <w:p w14:paraId="5C557173" w14:textId="77777777" w:rsidR="008F7222" w:rsidRDefault="008F7222" w:rsidP="008F7222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through the SWADT of Cagayan,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P/C/MATs in coordination with the LGUs of 2nd district of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Cagayan continuously monitors the situation of the affected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families.</w:t>
            </w:r>
          </w:p>
          <w:p w14:paraId="668743DC" w14:textId="6D36FF8A" w:rsidR="008F7222" w:rsidRPr="008F7222" w:rsidRDefault="008F7222" w:rsidP="008F7222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The Disaster Respons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 Information Management Section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(DRIMS) is continuously monitoring the status of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northeaster disturbance thru the PAGASA weather/flood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bulletin/advisory.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AFBCB5D" w14:textId="0D9D5B58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6CCB33B6" w14:textId="77777777" w:rsidR="00733D98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DIANE C. PELEGRINO</w:t>
            </w:r>
          </w:p>
          <w:p w14:paraId="182D16AA" w14:textId="1610C480" w:rsidR="00733D98" w:rsidRPr="00227A76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B277" w14:textId="77777777" w:rsidR="00443D87" w:rsidRDefault="00443D87">
      <w:pPr>
        <w:spacing w:after="0" w:line="240" w:lineRule="auto"/>
      </w:pPr>
      <w:r>
        <w:separator/>
      </w:r>
    </w:p>
  </w:endnote>
  <w:endnote w:type="continuationSeparator" w:id="0">
    <w:p w14:paraId="3B536C69" w14:textId="77777777" w:rsidR="00443D87" w:rsidRDefault="0044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531CB4" w:rsidRDefault="00531CB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1565545" w:rsidR="00531CB4" w:rsidRDefault="00531CB4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93DD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93DD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>DSWD DROMIC Report #</w:t>
    </w:r>
    <w:r w:rsidR="00733D98">
      <w:rPr>
        <w:rFonts w:ascii="Arial" w:eastAsia="Arial" w:hAnsi="Arial" w:cs="Arial"/>
        <w:sz w:val="14"/>
        <w:szCs w:val="14"/>
      </w:rPr>
      <w:t>2</w:t>
    </w:r>
    <w:r>
      <w:rPr>
        <w:rFonts w:ascii="Arial" w:eastAsia="Arial" w:hAnsi="Arial" w:cs="Arial"/>
        <w:sz w:val="14"/>
        <w:szCs w:val="14"/>
      </w:rPr>
      <w:t xml:space="preserve"> on Heavy Rainfall due to </w:t>
    </w:r>
    <w:r w:rsidR="00BD5B7C">
      <w:rPr>
        <w:rFonts w:ascii="Arial" w:eastAsia="Arial" w:hAnsi="Arial" w:cs="Arial"/>
        <w:sz w:val="14"/>
        <w:szCs w:val="14"/>
      </w:rPr>
      <w:t xml:space="preserve">Frontal System </w:t>
    </w:r>
    <w:r w:rsidRPr="00264096">
      <w:rPr>
        <w:rFonts w:ascii="Arial" w:eastAsia="Arial" w:hAnsi="Arial" w:cs="Arial"/>
        <w:sz w:val="14"/>
        <w:szCs w:val="14"/>
      </w:rPr>
      <w:t xml:space="preserve">as of </w:t>
    </w:r>
    <w:r w:rsidR="00733D98">
      <w:rPr>
        <w:rFonts w:ascii="Arial" w:eastAsia="Arial" w:hAnsi="Arial" w:cs="Arial"/>
        <w:sz w:val="14"/>
        <w:szCs w:val="14"/>
      </w:rPr>
      <w:t>26</w:t>
    </w:r>
    <w:r w:rsidR="00BD5B7C">
      <w:rPr>
        <w:rFonts w:ascii="Arial" w:eastAsia="Arial" w:hAnsi="Arial" w:cs="Arial"/>
        <w:sz w:val="14"/>
        <w:szCs w:val="14"/>
      </w:rPr>
      <w:t xml:space="preserve"> </w:t>
    </w:r>
    <w:r w:rsidRPr="00264096">
      <w:rPr>
        <w:rFonts w:ascii="Arial" w:eastAsia="Arial" w:hAnsi="Arial" w:cs="Arial"/>
        <w:sz w:val="14"/>
        <w:szCs w:val="14"/>
      </w:rPr>
      <w:t>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F38D" w14:textId="77777777" w:rsidR="00443D87" w:rsidRDefault="00443D87">
      <w:pPr>
        <w:spacing w:after="0" w:line="240" w:lineRule="auto"/>
      </w:pPr>
      <w:r>
        <w:separator/>
      </w:r>
    </w:p>
  </w:footnote>
  <w:footnote w:type="continuationSeparator" w:id="0">
    <w:p w14:paraId="111353B0" w14:textId="77777777" w:rsidR="00443D87" w:rsidRDefault="0044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31CB4" w:rsidRDefault="00531CB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31CB4" w:rsidRPr="00AC4062" w:rsidRDefault="00531CB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4BF94CA8"/>
    <w:multiLevelType w:val="hybridMultilevel"/>
    <w:tmpl w:val="1E782E3C"/>
    <w:lvl w:ilvl="0" w:tplc="E912092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9"/>
  </w:num>
  <w:num w:numId="3">
    <w:abstractNumId w:val="16"/>
  </w:num>
  <w:num w:numId="4">
    <w:abstractNumId w:val="23"/>
  </w:num>
  <w:num w:numId="5">
    <w:abstractNumId w:val="24"/>
  </w:num>
  <w:num w:numId="6">
    <w:abstractNumId w:val="34"/>
  </w:num>
  <w:num w:numId="7">
    <w:abstractNumId w:val="22"/>
  </w:num>
  <w:num w:numId="8">
    <w:abstractNumId w:val="37"/>
  </w:num>
  <w:num w:numId="9">
    <w:abstractNumId w:val="21"/>
  </w:num>
  <w:num w:numId="10">
    <w:abstractNumId w:val="31"/>
  </w:num>
  <w:num w:numId="11">
    <w:abstractNumId w:val="17"/>
  </w:num>
  <w:num w:numId="12">
    <w:abstractNumId w:val="35"/>
  </w:num>
  <w:num w:numId="13">
    <w:abstractNumId w:val="30"/>
  </w:num>
  <w:num w:numId="14">
    <w:abstractNumId w:val="26"/>
  </w:num>
  <w:num w:numId="15">
    <w:abstractNumId w:val="40"/>
  </w:num>
  <w:num w:numId="16">
    <w:abstractNumId w:val="19"/>
  </w:num>
  <w:num w:numId="17">
    <w:abstractNumId w:val="41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6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2"/>
  </w:num>
  <w:num w:numId="23">
    <w:abstractNumId w:val="2"/>
  </w:num>
  <w:num w:numId="24">
    <w:abstractNumId w:val="33"/>
  </w:num>
  <w:num w:numId="25">
    <w:abstractNumId w:val="9"/>
  </w:num>
  <w:num w:numId="26">
    <w:abstractNumId w:val="25"/>
  </w:num>
  <w:num w:numId="27">
    <w:abstractNumId w:val="29"/>
  </w:num>
  <w:num w:numId="28">
    <w:abstractNumId w:val="7"/>
  </w:num>
  <w:num w:numId="29">
    <w:abstractNumId w:val="5"/>
  </w:num>
  <w:num w:numId="30">
    <w:abstractNumId w:val="28"/>
  </w:num>
  <w:num w:numId="31">
    <w:abstractNumId w:val="1"/>
  </w:num>
  <w:num w:numId="32">
    <w:abstractNumId w:val="18"/>
  </w:num>
  <w:num w:numId="33">
    <w:abstractNumId w:val="42"/>
  </w:num>
  <w:num w:numId="34">
    <w:abstractNumId w:val="13"/>
  </w:num>
  <w:num w:numId="35">
    <w:abstractNumId w:val="8"/>
  </w:num>
  <w:num w:numId="36">
    <w:abstractNumId w:val="43"/>
  </w:num>
  <w:num w:numId="37">
    <w:abstractNumId w:val="15"/>
  </w:num>
  <w:num w:numId="38">
    <w:abstractNumId w:val="0"/>
  </w:num>
  <w:num w:numId="39">
    <w:abstractNumId w:val="10"/>
  </w:num>
  <w:num w:numId="40">
    <w:abstractNumId w:val="38"/>
  </w:num>
  <w:num w:numId="41">
    <w:abstractNumId w:val="12"/>
  </w:num>
  <w:num w:numId="42">
    <w:abstractNumId w:val="11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466CA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1D52-3A93-4CFE-AA44-CFF08221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2020-10-26T05:36:00Z</dcterms:created>
  <dcterms:modified xsi:type="dcterms:W3CDTF">2020-10-26T05:36:00Z</dcterms:modified>
</cp:coreProperties>
</file>