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9FFB64" w14:textId="0076C21F" w:rsidR="001467AB" w:rsidRDefault="001149A2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516724">
        <w:rPr>
          <w:rFonts w:ascii="Arial" w:eastAsia="Arial" w:hAnsi="Arial" w:cs="Arial"/>
          <w:b/>
          <w:sz w:val="32"/>
          <w:szCs w:val="24"/>
        </w:rPr>
        <w:t>3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Rainfall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629721C6" w:rsidR="001467AB" w:rsidRPr="00DF06D9" w:rsidRDefault="001467AB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Frontal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System</w:t>
      </w:r>
    </w:p>
    <w:p w14:paraId="5A72DFC5" w14:textId="4B12B8F0" w:rsidR="000B23B3" w:rsidRPr="00390262" w:rsidRDefault="00E511E9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2</w:t>
      </w:r>
      <w:r w:rsidR="00516724">
        <w:rPr>
          <w:rFonts w:ascii="Arial" w:eastAsia="Arial" w:hAnsi="Arial" w:cs="Arial"/>
          <w:sz w:val="24"/>
          <w:szCs w:val="24"/>
        </w:rPr>
        <w:t>7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October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409AAB61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25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October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frontal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intense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Cagayan,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two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also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Metro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Manila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Luzon,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Zamboanga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Peninsula,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Bangsamoro,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Northern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Mindanao,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Caraga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Visayas.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Flooding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(including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flashfloods),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rain-induced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landslides,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sediment-laden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streamflows</w:t>
      </w:r>
      <w:proofErr w:type="spellEnd"/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i.e.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lahars)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1CDE7675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A4158" w:rsidRPr="004A4158">
        <w:rPr>
          <w:rFonts w:ascii="Arial" w:eastAsia="Arial" w:hAnsi="Arial" w:cs="Arial"/>
          <w:b/>
          <w:color w:val="0070C0"/>
          <w:sz w:val="24"/>
          <w:szCs w:val="24"/>
        </w:rPr>
        <w:t xml:space="preserve">3,731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A4158" w:rsidRPr="004A4158">
        <w:rPr>
          <w:rFonts w:ascii="Arial" w:eastAsia="Arial" w:hAnsi="Arial" w:cs="Arial"/>
          <w:b/>
          <w:color w:val="0070C0"/>
          <w:sz w:val="24"/>
          <w:szCs w:val="24"/>
        </w:rPr>
        <w:t xml:space="preserve">15,848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Frontal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System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A4158" w:rsidRPr="004A4158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49" w:type="pct"/>
        <w:tblInd w:w="421" w:type="dxa"/>
        <w:tblLook w:val="04A0" w:firstRow="1" w:lastRow="0" w:firstColumn="1" w:lastColumn="0" w:noHBand="0" w:noVBand="1"/>
      </w:tblPr>
      <w:tblGrid>
        <w:gridCol w:w="329"/>
        <w:gridCol w:w="4632"/>
        <w:gridCol w:w="1562"/>
        <w:gridCol w:w="1460"/>
        <w:gridCol w:w="1460"/>
      </w:tblGrid>
      <w:tr w:rsidR="004A4158" w:rsidRPr="004A4158" w14:paraId="6648325A" w14:textId="77777777" w:rsidTr="004A4158">
        <w:trPr>
          <w:trHeight w:val="20"/>
        </w:trPr>
        <w:tc>
          <w:tcPr>
            <w:tcW w:w="2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34869B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1CC898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4A4158" w:rsidRPr="004A4158" w14:paraId="3E845758" w14:textId="77777777" w:rsidTr="004A4158">
        <w:trPr>
          <w:trHeight w:val="20"/>
        </w:trPr>
        <w:tc>
          <w:tcPr>
            <w:tcW w:w="26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A43F05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128C64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A0AF8C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7B51D2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4A4158" w:rsidRPr="004A4158" w14:paraId="70C2C5E0" w14:textId="77777777" w:rsidTr="004A4158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ED3064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666471" w14:textId="2F02BF54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27FD0B" w14:textId="2C34CB4C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3,731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37F76" w14:textId="429FE7B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15,848 </w:t>
            </w:r>
          </w:p>
        </w:tc>
      </w:tr>
      <w:tr w:rsidR="004A4158" w:rsidRPr="004A4158" w14:paraId="3D4F58E5" w14:textId="77777777" w:rsidTr="004A4158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2E1503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E910FF" w14:textId="63F0B0A2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3DD8AF" w14:textId="0B44CD72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3,687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AE8771" w14:textId="13A7E0C4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15,659 </w:t>
            </w:r>
          </w:p>
        </w:tc>
      </w:tr>
      <w:tr w:rsidR="004A4158" w:rsidRPr="004A4158" w14:paraId="16F2953D" w14:textId="77777777" w:rsidTr="004A4158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229EE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F46AF" w14:textId="46D023B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A77C65" w14:textId="106079AD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3,660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5BF9D7" w14:textId="4304CBC1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15,537 </w:t>
            </w:r>
          </w:p>
        </w:tc>
      </w:tr>
      <w:tr w:rsidR="004A4158" w:rsidRPr="004A4158" w14:paraId="52BB3352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3FE41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ED2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21BA" w14:textId="4F18ECFC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CDF0" w14:textId="08BAF91F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4336" w14:textId="2CC4EE3E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22 </w:t>
            </w:r>
          </w:p>
        </w:tc>
      </w:tr>
      <w:tr w:rsidR="004A4158" w:rsidRPr="004A4158" w14:paraId="7D05F2D4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CA348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00D5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D900" w14:textId="1424C20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A4DF" w14:textId="7BAAB773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F0FA" w14:textId="043D20B1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120 </w:t>
            </w:r>
          </w:p>
        </w:tc>
      </w:tr>
      <w:tr w:rsidR="004A4158" w:rsidRPr="004A4158" w14:paraId="329CDB44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1A939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D370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4077" w14:textId="581CBB46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C15E" w14:textId="30CBD14C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3,108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E619" w14:textId="2711F94B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13,651 </w:t>
            </w:r>
          </w:p>
        </w:tc>
      </w:tr>
      <w:tr w:rsidR="004A4158" w:rsidRPr="004A4158" w14:paraId="7CEA3957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48B4E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13BD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22C8" w14:textId="524ECA61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4CC9" w14:textId="4637BA33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154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BE12" w14:textId="285695A3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501 </w:t>
            </w:r>
          </w:p>
        </w:tc>
      </w:tr>
      <w:tr w:rsidR="004A4158" w:rsidRPr="004A4158" w14:paraId="25BC842C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6BD4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95F88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Rizal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2CA75" w14:textId="5D721D71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DD37C" w14:textId="50AA367A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85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DB98" w14:textId="749D32D9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330 </w:t>
            </w:r>
          </w:p>
        </w:tc>
      </w:tr>
      <w:tr w:rsidR="004A4158" w:rsidRPr="004A4158" w14:paraId="04AE2264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74348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FCF2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96F2" w14:textId="4B43D88A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BA33E" w14:textId="3E86DABC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7FDB" w14:textId="67698551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112 </w:t>
            </w:r>
          </w:p>
        </w:tc>
      </w:tr>
      <w:tr w:rsidR="004A4158" w:rsidRPr="004A4158" w14:paraId="719BC3FC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A12F2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A5BB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CC46" w14:textId="102C5C14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955C" w14:textId="21E0778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227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D50C" w14:textId="26D4CB58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749 </w:t>
            </w:r>
          </w:p>
        </w:tc>
      </w:tr>
      <w:tr w:rsidR="004A4158" w:rsidRPr="004A4158" w14:paraId="5160B340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A9653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F10E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6627" w14:textId="7E87B343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4A541" w14:textId="582ABCBE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AC92" w14:textId="3CFAEC9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52 </w:t>
            </w:r>
          </w:p>
        </w:tc>
      </w:tr>
      <w:tr w:rsidR="004A4158" w:rsidRPr="004A4158" w14:paraId="2E631FEF" w14:textId="77777777" w:rsidTr="004A4158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9879A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63E142" w14:textId="2F683119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C5714C" w14:textId="200E920F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27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986606" w14:textId="4E69942A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122 </w:t>
            </w:r>
          </w:p>
        </w:tc>
      </w:tr>
      <w:tr w:rsidR="004A4158" w:rsidRPr="004A4158" w14:paraId="5D3CB5F4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CD28A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D33E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Aurora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ECEE" w14:textId="02C604B4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F4697" w14:textId="206414F6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10C7" w14:textId="58E7D6F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23 </w:t>
            </w:r>
          </w:p>
        </w:tc>
      </w:tr>
      <w:tr w:rsidR="004A4158" w:rsidRPr="004A4158" w14:paraId="50EC25B1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D2735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06BA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CEBC1" w14:textId="799F5CB8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3150" w14:textId="5AC56A5E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C0FA" w14:textId="353B8243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99 </w:t>
            </w:r>
          </w:p>
        </w:tc>
      </w:tr>
      <w:tr w:rsidR="004A4158" w:rsidRPr="004A4158" w14:paraId="4380B72F" w14:textId="77777777" w:rsidTr="004A4158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6EDFAE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87CAA9" w14:textId="40F0C079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7694EE" w14:textId="571DC986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3C38A4" w14:textId="5A808FA2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189 </w:t>
            </w:r>
          </w:p>
        </w:tc>
      </w:tr>
      <w:tr w:rsidR="004A4158" w:rsidRPr="004A4158" w14:paraId="732902FE" w14:textId="77777777" w:rsidTr="004A4158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052BA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727C70" w14:textId="39587C7B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1CD0D9" w14:textId="2F73912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44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84C790" w14:textId="5DCEEDDC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189 </w:t>
            </w:r>
          </w:p>
        </w:tc>
      </w:tr>
      <w:tr w:rsidR="004A4158" w:rsidRPr="004A4158" w14:paraId="33BE9463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4BB1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36A7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8CD2" w14:textId="70B416D9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31A33" w14:textId="2050EC7A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0DC0F" w14:textId="2EF48173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110 </w:t>
            </w:r>
          </w:p>
        </w:tc>
      </w:tr>
      <w:tr w:rsidR="004A4158" w:rsidRPr="004A4158" w14:paraId="69D7BAA9" w14:textId="77777777" w:rsidTr="004A415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F565C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CA55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0096" w14:textId="084DED8B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4EEF" w14:textId="3C8479BE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1BDC" w14:textId="141EEB68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79 </w:t>
            </w:r>
          </w:p>
        </w:tc>
      </w:tr>
    </w:tbl>
    <w:p w14:paraId="0C1EC99B" w14:textId="292F850E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7432040" w14:textId="33652553" w:rsidR="006466CA" w:rsidRPr="00EF58C6" w:rsidRDefault="006466CA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F6CB451" w14:textId="1D73394D" w:rsidR="006E5529" w:rsidRDefault="006E5529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6A0DCC" w14:textId="47A0283F" w:rsidR="004A4158" w:rsidRDefault="004A415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634CA42" w14:textId="124029DC" w:rsidR="004A4158" w:rsidRDefault="004A415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929545" w14:textId="0C754253" w:rsidR="004A4158" w:rsidRDefault="004A415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97E1DDB" w14:textId="464C1AC6" w:rsidR="004A4158" w:rsidRDefault="004A415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ABEAF4" w14:textId="0E61885B" w:rsidR="004A4158" w:rsidRDefault="004A415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B8CC52" w14:textId="228347A6" w:rsidR="004A4158" w:rsidRDefault="004A415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606753" w14:textId="0A68A197" w:rsidR="004A4158" w:rsidRDefault="004A415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0BC770" w14:textId="3DEF0C9F" w:rsidR="004A4158" w:rsidRDefault="004A415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C41033" w14:textId="77777777" w:rsidR="004A4158" w:rsidRDefault="004A4158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08E70ED4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A4158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D93DD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A4158">
        <w:rPr>
          <w:rFonts w:ascii="Arial" w:eastAsia="Arial" w:hAnsi="Arial" w:cs="Arial"/>
          <w:b/>
          <w:color w:val="0070C0"/>
          <w:sz w:val="24"/>
          <w:szCs w:val="24"/>
        </w:rPr>
        <w:t>108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A4158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7626B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626BA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7626BA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29" w:type="pct"/>
        <w:tblInd w:w="704" w:type="dxa"/>
        <w:tblLook w:val="04A0" w:firstRow="1" w:lastRow="0" w:firstColumn="1" w:lastColumn="0" w:noHBand="0" w:noVBand="1"/>
      </w:tblPr>
      <w:tblGrid>
        <w:gridCol w:w="333"/>
        <w:gridCol w:w="2755"/>
        <w:gridCol w:w="842"/>
        <w:gridCol w:w="805"/>
        <w:gridCol w:w="1076"/>
        <w:gridCol w:w="956"/>
        <w:gridCol w:w="1026"/>
        <w:gridCol w:w="1416"/>
      </w:tblGrid>
      <w:tr w:rsidR="004A4158" w:rsidRPr="004A4158" w14:paraId="420FF260" w14:textId="77777777" w:rsidTr="004A4158">
        <w:trPr>
          <w:trHeight w:val="20"/>
        </w:trPr>
        <w:tc>
          <w:tcPr>
            <w:tcW w:w="1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82BB0D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4EC00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2ACD39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4A4158" w:rsidRPr="004A4158" w14:paraId="3B984272" w14:textId="77777777" w:rsidTr="004A4158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193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967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D507C7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4A4158" w:rsidRPr="004A4158" w14:paraId="21316E5B" w14:textId="77777777" w:rsidTr="004A4158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F17E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660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22DE1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E7082D" w14:textId="51DF06DA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4A4158" w:rsidRPr="004A4158" w14:paraId="489515C7" w14:textId="77777777" w:rsidTr="004A4158">
        <w:trPr>
          <w:trHeight w:val="20"/>
        </w:trPr>
        <w:tc>
          <w:tcPr>
            <w:tcW w:w="16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61E5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AF3094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E7AC47" w14:textId="0BFC1AD6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NOW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C91A74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0894F3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47330D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7E4E78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4A4158" w:rsidRPr="004A4158" w14:paraId="13D3F508" w14:textId="77777777" w:rsidTr="004A4158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EDECA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9DD4F6" w14:textId="1116D76A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38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FF9D9D" w14:textId="2C41BB01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4E4503" w14:textId="6D4BA3CE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992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BA47AD" w14:textId="3A4D2FE8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5C8B8B" w14:textId="7C4D5E9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3,955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622937" w14:textId="749141DA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108 </w:t>
            </w:r>
          </w:p>
        </w:tc>
      </w:tr>
      <w:tr w:rsidR="004A4158" w:rsidRPr="004A4158" w14:paraId="30F29986" w14:textId="77777777" w:rsidTr="004A4158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6BE369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001320" w14:textId="0A66C665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EAA69D" w14:textId="61404992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06B5C5" w14:textId="5AB3B2F5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974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780D27" w14:textId="03C0C28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9D48B2" w14:textId="06673D25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3,865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FA78A0" w14:textId="11B3CC44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 </w:t>
            </w:r>
          </w:p>
        </w:tc>
      </w:tr>
      <w:tr w:rsidR="004A4158" w:rsidRPr="004A4158" w14:paraId="5B2984D7" w14:textId="77777777" w:rsidTr="004A4158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865D8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80A35" w14:textId="40A123CF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5C349A" w14:textId="4AAA53D4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5AA4E8" w14:textId="67789F66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974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750B28" w14:textId="37D73DE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9E42E" w14:textId="0AA1517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3,865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3B311" w14:textId="6B80DCAA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 </w:t>
            </w:r>
          </w:p>
        </w:tc>
      </w:tr>
      <w:tr w:rsidR="004A4158" w:rsidRPr="004A4158" w14:paraId="46F024E3" w14:textId="77777777" w:rsidTr="004A4158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1B13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821D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870D" w14:textId="12DE9D05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C281" w14:textId="3E951089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4C553" w14:textId="2919C5C2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E1BC" w14:textId="457BD0EB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AC84D" w14:textId="14EB4BEA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3E77" w14:textId="047A6BC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15 </w:t>
            </w:r>
          </w:p>
        </w:tc>
      </w:tr>
      <w:tr w:rsidR="004A4158" w:rsidRPr="004A4158" w14:paraId="3B9B7213" w14:textId="77777777" w:rsidTr="004A4158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3E126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29A0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6A928" w14:textId="0B2A3159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28B0" w14:textId="6CD9D952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DAE0" w14:textId="630F6E9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EB5CA" w14:textId="3829BCBC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EE4E" w14:textId="5D95145E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2411" w14:textId="35525251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 </w:t>
            </w:r>
          </w:p>
        </w:tc>
      </w:tr>
      <w:tr w:rsidR="004A4158" w:rsidRPr="004A4158" w14:paraId="6AB2BA85" w14:textId="77777777" w:rsidTr="004A4158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740AD5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D0759A" w14:textId="0978B56D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3C882F" w14:textId="7963DC82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415ADA" w14:textId="3BEA301C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4726A0" w14:textId="10C1993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A1A243" w14:textId="33FCBB9A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DAD1E2" w14:textId="2A2D1126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90 </w:t>
            </w:r>
          </w:p>
        </w:tc>
      </w:tr>
      <w:tr w:rsidR="004A4158" w:rsidRPr="004A4158" w14:paraId="3627AE0B" w14:textId="77777777" w:rsidTr="004A4158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A5DFA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41B9B" w14:textId="5A14212C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03F6B4" w14:textId="079F5978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C38B9" w14:textId="34E1B49E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B8E940" w14:textId="3B30F85F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D90022" w14:textId="38AF43B2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E707EC" w14:textId="7B8E570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90 </w:t>
            </w:r>
          </w:p>
        </w:tc>
      </w:tr>
      <w:tr w:rsidR="004A4158" w:rsidRPr="004A4158" w14:paraId="5F5FC430" w14:textId="77777777" w:rsidTr="004A4158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CB683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8340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208EA" w14:textId="792F84AB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CCA9B" w14:textId="1FAFC2C9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6EBB" w14:textId="537BC0F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18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CE48" w14:textId="708DA094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76B8A" w14:textId="3ABC8F46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3644" w14:textId="2A02C94D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90 </w:t>
            </w:r>
          </w:p>
        </w:tc>
      </w:tr>
    </w:tbl>
    <w:p w14:paraId="349C7BA6" w14:textId="7DCD3D19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4B2CC76" w14:textId="586258B3" w:rsidR="00EF58C6" w:rsidRPr="00EF58C6" w:rsidRDefault="00EF58C6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7C86E75" w14:textId="77777777" w:rsidR="007626BA" w:rsidRDefault="007626BA" w:rsidP="00531CB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39345E6F" w:rsidR="00B93C24" w:rsidRPr="00AF7C70" w:rsidRDefault="00AC67DF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total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93DD5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4A4158">
        <w:rPr>
          <w:rFonts w:ascii="Arial" w:eastAsia="Arial" w:hAnsi="Arial" w:cs="Arial"/>
          <w:b/>
          <w:bCs/>
          <w:color w:val="0070C0"/>
          <w:sz w:val="24"/>
          <w:szCs w:val="24"/>
        </w:rPr>
        <w:t>4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A4158">
        <w:rPr>
          <w:rFonts w:ascii="Arial" w:eastAsia="Arial" w:hAnsi="Arial" w:cs="Arial"/>
          <w:b/>
          <w:bCs/>
          <w:color w:val="0070C0"/>
          <w:sz w:val="24"/>
          <w:szCs w:val="24"/>
        </w:rPr>
        <w:t>55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temporarily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stayed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C24" w:rsidRPr="008A28C8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531CB4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16" w:type="pct"/>
        <w:tblInd w:w="704" w:type="dxa"/>
        <w:tblLook w:val="04A0" w:firstRow="1" w:lastRow="0" w:firstColumn="1" w:lastColumn="0" w:noHBand="0" w:noVBand="1"/>
      </w:tblPr>
      <w:tblGrid>
        <w:gridCol w:w="330"/>
        <w:gridCol w:w="2790"/>
        <w:gridCol w:w="1515"/>
        <w:gridCol w:w="1519"/>
        <w:gridCol w:w="1515"/>
        <w:gridCol w:w="1515"/>
      </w:tblGrid>
      <w:tr w:rsidR="004A4158" w:rsidRPr="004A4158" w14:paraId="61F5F024" w14:textId="77777777" w:rsidTr="004A4158">
        <w:trPr>
          <w:trHeight w:val="20"/>
        </w:trPr>
        <w:tc>
          <w:tcPr>
            <w:tcW w:w="1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4D432E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3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1717BA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4A4158" w:rsidRPr="004A4158" w14:paraId="02310784" w14:textId="77777777" w:rsidTr="004A4158">
        <w:trPr>
          <w:trHeight w:val="20"/>
        </w:trPr>
        <w:tc>
          <w:tcPr>
            <w:tcW w:w="1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9069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52E53C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4A4158" w:rsidRPr="004A4158" w14:paraId="72BBCA88" w14:textId="77777777" w:rsidTr="004A4158">
        <w:trPr>
          <w:trHeight w:val="20"/>
        </w:trPr>
        <w:tc>
          <w:tcPr>
            <w:tcW w:w="1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8D4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31777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C222B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4A4158" w:rsidRPr="004A4158" w14:paraId="38C665BB" w14:textId="77777777" w:rsidTr="004A4158">
        <w:trPr>
          <w:trHeight w:val="20"/>
        </w:trPr>
        <w:tc>
          <w:tcPr>
            <w:tcW w:w="1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B8B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9D3C3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1D13F5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935407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0B68F6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4A4158" w:rsidRPr="004A4158" w14:paraId="2D8542BB" w14:textId="77777777" w:rsidTr="004A4158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6ECEDF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02F1DD" w14:textId="4B19E794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348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05959D" w14:textId="5172449B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14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4951EC" w14:textId="469E9F4F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1,549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892D2" w14:textId="417A8993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55 </w:t>
            </w:r>
          </w:p>
        </w:tc>
      </w:tr>
      <w:tr w:rsidR="004A4158" w:rsidRPr="004A4158" w14:paraId="2BF70384" w14:textId="77777777" w:rsidTr="004A4158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DBB80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EF06D9" w14:textId="0EEB4AA6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336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E69BA9" w14:textId="0987EAFD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E5A4A" w14:textId="3187AF22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1,499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0AB60D" w14:textId="41744E89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</w:tr>
      <w:tr w:rsidR="004A4158" w:rsidRPr="004A4158" w14:paraId="4C52E3BE" w14:textId="77777777" w:rsidTr="004A4158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E9CEB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E6C586" w14:textId="7D4028E8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336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34A3EE" w14:textId="4304D8E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81E424" w14:textId="66B82323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1,499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19E42A" w14:textId="0624D93D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</w:tr>
      <w:tr w:rsidR="004A4158" w:rsidRPr="004A4158" w14:paraId="11398408" w14:textId="77777777" w:rsidTr="004A415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7CA9D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B3AB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Santa </w:t>
            </w: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574C" w14:textId="1D55749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29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F6F1" w14:textId="69A77725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70F8" w14:textId="57BF66C8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7F7B" w14:textId="38A9DCE1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</w:tr>
      <w:tr w:rsidR="004A4158" w:rsidRPr="004A4158" w14:paraId="0D19EB0D" w14:textId="77777777" w:rsidTr="004A4158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8AD210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A9A1A0" w14:textId="26D8B13D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AA73F4" w14:textId="76A5E00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2F4927" w14:textId="48910713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16647E" w14:textId="655CB12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50 </w:t>
            </w:r>
          </w:p>
        </w:tc>
      </w:tr>
      <w:tr w:rsidR="004A4158" w:rsidRPr="004A4158" w14:paraId="59E2607C" w14:textId="77777777" w:rsidTr="004A4158">
        <w:trPr>
          <w:trHeight w:val="20"/>
        </w:trPr>
        <w:tc>
          <w:tcPr>
            <w:tcW w:w="1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B0AD2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BAF47E" w14:textId="26F309B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26B00" w14:textId="391F6C18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0FC80C" w14:textId="17D32DDA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7A6787" w14:textId="26212F1E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415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50 </w:t>
            </w:r>
          </w:p>
        </w:tc>
      </w:tr>
      <w:tr w:rsidR="004A4158" w:rsidRPr="004A4158" w14:paraId="6A9FB25D" w14:textId="77777777" w:rsidTr="004A415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C68F6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7F21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</w:t>
            </w:r>
            <w:proofErr w:type="spellStart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060F" w14:textId="6B331A45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24AB" w14:textId="334D310C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AF4E" w14:textId="125FA991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0E7C" w14:textId="4E4FC77C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</w:tr>
      <w:tr w:rsidR="004A4158" w:rsidRPr="004A4158" w14:paraId="0FDF8589" w14:textId="77777777" w:rsidTr="004A415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A9BCA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A415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4D7A" w14:textId="77777777" w:rsidR="004A4158" w:rsidRPr="004A4158" w:rsidRDefault="004A4158" w:rsidP="004A415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42AE4" w14:textId="087C60DE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6A68" w14:textId="1DC3EB1E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8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021A" w14:textId="09A5F560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9610" w14:textId="7692E912" w:rsidR="004A4158" w:rsidRPr="004A4158" w:rsidRDefault="004A4158" w:rsidP="004A415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4A415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8A67A53" w14:textId="7185F769" w:rsidR="00390262" w:rsidRPr="00531CB4" w:rsidRDefault="00D72DD6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E9E58EB" w14:textId="77777777" w:rsidR="00227A76" w:rsidRDefault="00227A76" w:rsidP="00227A76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1ABE37E1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2C360C8B" w:rsidR="00531CB4" w:rsidRPr="00D93DD5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D93DD5">
        <w:rPr>
          <w:rFonts w:ascii="Arial" w:eastAsia="Arial" w:hAnsi="Arial" w:cs="Arial"/>
          <w:bCs/>
          <w:sz w:val="24"/>
          <w:szCs w:val="24"/>
        </w:rPr>
        <w:t>A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/>
          <w:sz w:val="24"/>
          <w:szCs w:val="24"/>
        </w:rPr>
        <w:t>₱</w:t>
      </w:r>
      <w:r w:rsidR="00BD5B7C" w:rsidRPr="00D93DD5">
        <w:rPr>
          <w:rFonts w:ascii="Arial" w:eastAsia="Arial" w:hAnsi="Arial" w:cs="Arial"/>
          <w:b/>
          <w:sz w:val="24"/>
          <w:szCs w:val="24"/>
        </w:rPr>
        <w:t xml:space="preserve">470,000.00 </w:t>
      </w:r>
      <w:r w:rsidRPr="00D93DD5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provided by </w:t>
      </w:r>
      <w:r w:rsidR="00BD5B7C" w:rsidRPr="00D93DD5">
        <w:rPr>
          <w:rFonts w:ascii="Arial" w:eastAsia="Arial" w:hAnsi="Arial" w:cs="Arial"/>
          <w:b/>
          <w:bCs/>
          <w:sz w:val="24"/>
          <w:szCs w:val="24"/>
        </w:rPr>
        <w:t>DSWD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to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the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D93DD5">
        <w:rPr>
          <w:rFonts w:ascii="Arial" w:eastAsia="Arial" w:hAnsi="Arial" w:cs="Arial"/>
          <w:bCs/>
          <w:sz w:val="24"/>
          <w:szCs w:val="24"/>
        </w:rPr>
        <w:t>families</w:t>
      </w:r>
      <w:r w:rsidR="00BD5B7C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D93DD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93DD5">
        <w:rPr>
          <w:rFonts w:ascii="Arial" w:eastAsia="Arial" w:hAnsi="Arial" w:cs="Arial"/>
          <w:bCs/>
          <w:sz w:val="24"/>
          <w:szCs w:val="24"/>
        </w:rPr>
        <w:t>4).</w:t>
      </w:r>
    </w:p>
    <w:p w14:paraId="5E682F8D" w14:textId="77777777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04E5F467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D5B7C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05" w:type="pct"/>
        <w:tblInd w:w="383" w:type="dxa"/>
        <w:tblLook w:val="04A0" w:firstRow="1" w:lastRow="0" w:firstColumn="1" w:lastColumn="0" w:noHBand="0" w:noVBand="1"/>
      </w:tblPr>
      <w:tblGrid>
        <w:gridCol w:w="386"/>
        <w:gridCol w:w="1495"/>
        <w:gridCol w:w="1302"/>
        <w:gridCol w:w="1544"/>
        <w:gridCol w:w="1544"/>
        <w:gridCol w:w="1544"/>
        <w:gridCol w:w="1542"/>
      </w:tblGrid>
      <w:tr w:rsidR="00531CB4" w:rsidRPr="00531CB4" w14:paraId="41FD5461" w14:textId="77777777" w:rsidTr="004A4158">
        <w:trPr>
          <w:trHeight w:val="20"/>
        </w:trPr>
        <w:tc>
          <w:tcPr>
            <w:tcW w:w="10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AF178E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27693E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1ADB30BC" w14:textId="77777777" w:rsidTr="004A4158">
        <w:trPr>
          <w:trHeight w:val="20"/>
        </w:trPr>
        <w:tc>
          <w:tcPr>
            <w:tcW w:w="1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E9AD373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AE9DD3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E96039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1D49DE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A7975A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661908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4812FBB2" w14:textId="77777777" w:rsidTr="004A4158">
        <w:trPr>
          <w:trHeight w:val="20"/>
        </w:trPr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E95431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4FC8F9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DDC4E2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D6F66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B8BC1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B15A2C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08EC808C" w14:textId="77777777" w:rsidTr="004A4158">
        <w:trPr>
          <w:trHeight w:val="20"/>
        </w:trPr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4EAD1D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453F605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411F868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073786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DF2AB0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7573E8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66131B2C" w14:textId="77777777" w:rsidTr="004A4158">
        <w:trPr>
          <w:trHeight w:val="20"/>
        </w:trPr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C3899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43933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3177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91EEF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4685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42102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0D274177" w14:textId="77777777" w:rsidTr="004A4158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651D6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32F8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1EB8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75C1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18CC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1FF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99C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</w:tbl>
    <w:p w14:paraId="63D70635" w14:textId="7AC75BC3" w:rsidR="00531CB4" w:rsidRPr="00531CB4" w:rsidRDefault="00531CB4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3F5E955" w14:textId="77777777" w:rsidR="00531CB4" w:rsidRDefault="00531CB4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6AEB858C" w14:textId="4D182FFD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23D2D89D" w:rsidR="004818A5" w:rsidRPr="00227A76" w:rsidRDefault="00830A87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7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227A76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FFF034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DB4F03" w:rsidRPr="00227A76" w14:paraId="69CF665B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3D9B43B4" w:rsidR="00902F26" w:rsidRPr="0034236D" w:rsidRDefault="002A4F48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34236D"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7</w:t>
            </w:r>
            <w:r w:rsidR="00531CB4"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902F26"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902F26"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B37AC9" w14:textId="437A4457" w:rsidR="0034236D" w:rsidRDefault="0034236D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Emergency Response Preparedness Meeting attended by RD Leo L. </w:t>
            </w:r>
            <w:proofErr w:type="spellStart"/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Quintilla</w:t>
            </w:r>
            <w:proofErr w:type="spellEnd"/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.</w:t>
            </w:r>
          </w:p>
          <w:p w14:paraId="745D4932" w14:textId="3CB5A624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The Disaster Response Management Division (DRMD) of DSWD-FO CAR plans to preposition food and non-food items (FNFIs) to identified warehouses. The DRMD is currently identifying and coordinating with other agencies/organizations for warehouses.</w:t>
            </w:r>
          </w:p>
          <w:p w14:paraId="3F8028EF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The DRMD staff are on standby to render duty at the Operations Center and monitored the status on the ground as well as the alert level status and weather updates.</w:t>
            </w:r>
          </w:p>
          <w:p w14:paraId="2BCFAE3B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The Provincial Social Welfare and Development Teams (PSWADT) DRMD PDO IIs were informed of the situation.</w:t>
            </w:r>
          </w:p>
          <w:p w14:paraId="5E5F1C26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Municipal Action Teams are on standby.</w:t>
            </w:r>
          </w:p>
          <w:p w14:paraId="7E4D429E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coordination by the DRMD PDO IIs assigned in the PSWADTs with the LDRRMOs for updates.</w:t>
            </w:r>
          </w:p>
          <w:p w14:paraId="615498BD" w14:textId="77777777" w:rsidR="002A4F48" w:rsidRPr="0034236D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54FBC6AD" w14:textId="7FD5CA4A" w:rsidR="002A4F48" w:rsidRPr="0034236D" w:rsidRDefault="002A4F48" w:rsidP="0034236D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34236D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CAR is in close coordination with Cordillera Regional Disaster Risk Reduction and Management Council Emergency Operations Center for updates.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434AEDDC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1A2DB6" w:rsidRPr="00227A76" w14:paraId="01DEED40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2A4F48" w:rsidRPr="00227A76" w14:paraId="6E434F92" w14:textId="77777777" w:rsidTr="008F7222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68D2F042" w:rsidR="00266BF5" w:rsidRPr="004A4158" w:rsidRDefault="004A4158" w:rsidP="004A4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27 </w:t>
            </w:r>
            <w:r w:rsidR="00266BF5"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266BF5"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7C33A9" w14:textId="5D47DBE6" w:rsidR="008F7222" w:rsidRPr="004A4158" w:rsidRDefault="004A4158" w:rsidP="004A4158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DRMD-DMRT, SWADTs and MATs of Cagayan (2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nd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and 3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rd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district) is still on a </w:t>
            </w:r>
            <w:proofErr w:type="gramStart"/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24 hour</w:t>
            </w:r>
            <w:proofErr w:type="gramEnd"/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duty to monitor the situation of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 families.</w:t>
            </w:r>
          </w:p>
          <w:p w14:paraId="5C557173" w14:textId="2102B30D" w:rsidR="008F7222" w:rsidRDefault="008F7222" w:rsidP="008F7222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through the SWADT of Cagayan, P/C/MATs in coordination with the LGUs of 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4A4158"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nd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district 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and 3</w:t>
            </w:r>
            <w:r w:rsidR="004A4158" w:rsidRPr="004A4158">
              <w:rPr>
                <w:rFonts w:ascii="Arial" w:eastAsia="Arial" w:hAnsi="Arial" w:cs="Arial"/>
                <w:color w:val="0070C0"/>
                <w:sz w:val="19"/>
                <w:szCs w:val="19"/>
                <w:vertAlign w:val="superscript"/>
              </w:rPr>
              <w:t>rd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district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of Cagayan continuously monitors the situation of the affected families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if there are </w:t>
            </w:r>
            <w:r w:rsidR="004A4158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concerns needed to be addressed by the</w:t>
            </w:r>
            <w:r w:rsid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A4158"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FO.</w:t>
            </w:r>
          </w:p>
          <w:p w14:paraId="47169EB5" w14:textId="77777777" w:rsidR="004A4158" w:rsidRDefault="008F7222" w:rsidP="004A4158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The Disaster Respons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e Information Management Section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(DRIMS) is continuously monitoring the status of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northeaster disturbance thru the PAGASA weather/flood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7222">
              <w:rPr>
                <w:rFonts w:ascii="Arial" w:eastAsia="Arial" w:hAnsi="Arial" w:cs="Arial"/>
                <w:color w:val="0070C0"/>
                <w:sz w:val="19"/>
                <w:szCs w:val="19"/>
              </w:rPr>
              <w:t>bulletin/advisory.</w:t>
            </w:r>
          </w:p>
          <w:p w14:paraId="668743DC" w14:textId="79FCA44F" w:rsidR="004A4158" w:rsidRPr="004A4158" w:rsidRDefault="004A4158" w:rsidP="004A4158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DRMD ensures the availability of Food and Non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-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Food items and continuously repacking FFPs to maintain the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4A4158">
              <w:rPr>
                <w:rFonts w:ascii="Arial" w:eastAsia="Arial" w:hAnsi="Arial" w:cs="Arial"/>
                <w:color w:val="0070C0"/>
                <w:sz w:val="19"/>
                <w:szCs w:val="19"/>
              </w:rPr>
              <w:t>desired level of standby stockpile.</w:t>
            </w:r>
          </w:p>
        </w:tc>
      </w:tr>
    </w:tbl>
    <w:p w14:paraId="1972A35C" w14:textId="06A091B1" w:rsidR="001A2DB6" w:rsidRDefault="001A2DB6" w:rsidP="00531CB4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71B0386D" w14:textId="59C06565" w:rsidR="001149A2" w:rsidRPr="00005366" w:rsidRDefault="001149A2" w:rsidP="00531CB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5C0ED8A9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</w:p>
    <w:p w14:paraId="1AFBCB5D" w14:textId="47BE7125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076072" w14:textId="77777777" w:rsidR="0034236D" w:rsidRDefault="0034236D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6CCB33B6" w14:textId="77777777" w:rsidR="00733D98" w:rsidRDefault="00733D98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DIANE C. PELEGRINO</w:t>
            </w:r>
          </w:p>
          <w:p w14:paraId="182D16AA" w14:textId="1610C480" w:rsidR="00733D98" w:rsidRPr="00227A76" w:rsidRDefault="00733D98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1A4B483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LESLIE JAWILI</w:t>
            </w:r>
          </w:p>
        </w:tc>
      </w:tr>
    </w:tbl>
    <w:p w14:paraId="5F50F1E1" w14:textId="0DA2D385" w:rsidR="00191B40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A994FC3" w14:textId="2695B964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8F60B17" w14:textId="7214626B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310A6BF" w14:textId="00D9BB3E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BF0E26F" w14:textId="232B9CE9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B2F5AC1" w14:textId="42B97C39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0DF75F0" w14:textId="77BC7337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39D0EED" w14:textId="0B525D03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1C6F76E" w14:textId="790F31C4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02DA96" w14:textId="55A64691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6EE1BFD" w14:textId="3501127E" w:rsidR="00936D87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161579" wp14:editId="47AC597D">
            <wp:simplePos x="0" y="0"/>
            <wp:positionH relativeFrom="column">
              <wp:posOffset>440182</wp:posOffset>
            </wp:positionH>
            <wp:positionV relativeFrom="paragraph">
              <wp:posOffset>195580</wp:posOffset>
            </wp:positionV>
            <wp:extent cx="5471769" cy="410368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69" cy="410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09D57" w14:textId="755ABC92" w:rsidR="00936D87" w:rsidRPr="00227A76" w:rsidRDefault="00936D87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936D87" w:rsidRPr="00227A76" w:rsidSect="00146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BFAB1" w14:textId="77777777" w:rsidR="0076257C" w:rsidRDefault="0076257C">
      <w:pPr>
        <w:spacing w:after="0" w:line="240" w:lineRule="auto"/>
      </w:pPr>
      <w:r>
        <w:separator/>
      </w:r>
    </w:p>
  </w:endnote>
  <w:endnote w:type="continuationSeparator" w:id="0">
    <w:p w14:paraId="5599A737" w14:textId="77777777" w:rsidR="0076257C" w:rsidRDefault="0076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531CB4" w:rsidRDefault="00531CB4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7B2379B" w:rsidR="00531CB4" w:rsidRDefault="00531CB4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93DD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93DD5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264096">
      <w:rPr>
        <w:rFonts w:ascii="Arial" w:eastAsia="Arial" w:hAnsi="Arial" w:cs="Arial"/>
        <w:sz w:val="14"/>
        <w:szCs w:val="14"/>
      </w:rPr>
      <w:t>DSWD DROMIC Report #</w:t>
    </w:r>
    <w:r w:rsidR="00F530D7">
      <w:rPr>
        <w:rFonts w:ascii="Arial" w:eastAsia="Arial" w:hAnsi="Arial" w:cs="Arial"/>
        <w:sz w:val="14"/>
        <w:szCs w:val="14"/>
      </w:rPr>
      <w:t>3</w:t>
    </w:r>
    <w:r>
      <w:rPr>
        <w:rFonts w:ascii="Arial" w:eastAsia="Arial" w:hAnsi="Arial" w:cs="Arial"/>
        <w:sz w:val="14"/>
        <w:szCs w:val="14"/>
      </w:rPr>
      <w:t xml:space="preserve"> on Heavy Rainfall due to </w:t>
    </w:r>
    <w:r w:rsidR="00BD5B7C">
      <w:rPr>
        <w:rFonts w:ascii="Arial" w:eastAsia="Arial" w:hAnsi="Arial" w:cs="Arial"/>
        <w:sz w:val="14"/>
        <w:szCs w:val="14"/>
      </w:rPr>
      <w:t xml:space="preserve">Frontal System </w:t>
    </w:r>
    <w:r w:rsidRPr="00264096">
      <w:rPr>
        <w:rFonts w:ascii="Arial" w:eastAsia="Arial" w:hAnsi="Arial" w:cs="Arial"/>
        <w:sz w:val="14"/>
        <w:szCs w:val="14"/>
      </w:rPr>
      <w:t xml:space="preserve">as of </w:t>
    </w:r>
    <w:r w:rsidR="00733D98">
      <w:rPr>
        <w:rFonts w:ascii="Arial" w:eastAsia="Arial" w:hAnsi="Arial" w:cs="Arial"/>
        <w:sz w:val="14"/>
        <w:szCs w:val="14"/>
      </w:rPr>
      <w:t>2</w:t>
    </w:r>
    <w:r w:rsidR="00F530D7">
      <w:rPr>
        <w:rFonts w:ascii="Arial" w:eastAsia="Arial" w:hAnsi="Arial" w:cs="Arial"/>
        <w:sz w:val="14"/>
        <w:szCs w:val="14"/>
      </w:rPr>
      <w:t>7</w:t>
    </w:r>
    <w:r w:rsidR="00BD5B7C">
      <w:rPr>
        <w:rFonts w:ascii="Arial" w:eastAsia="Arial" w:hAnsi="Arial" w:cs="Arial"/>
        <w:sz w:val="14"/>
        <w:szCs w:val="14"/>
      </w:rPr>
      <w:t xml:space="preserve"> </w:t>
    </w:r>
    <w:r w:rsidRPr="00264096">
      <w:rPr>
        <w:rFonts w:ascii="Arial" w:eastAsia="Arial" w:hAnsi="Arial" w:cs="Arial"/>
        <w:sz w:val="14"/>
        <w:szCs w:val="14"/>
      </w:rPr>
      <w:t>October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A986" w14:textId="77777777" w:rsidR="0076257C" w:rsidRDefault="0076257C">
      <w:pPr>
        <w:spacing w:after="0" w:line="240" w:lineRule="auto"/>
      </w:pPr>
      <w:r>
        <w:separator/>
      </w:r>
    </w:p>
  </w:footnote>
  <w:footnote w:type="continuationSeparator" w:id="0">
    <w:p w14:paraId="160E9948" w14:textId="77777777" w:rsidR="0076257C" w:rsidRDefault="0076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31CB4" w:rsidRDefault="00531CB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531CB4" w:rsidRPr="00AC4062" w:rsidRDefault="00531CB4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7" w15:restartNumberingAfterBreak="0">
    <w:nsid w:val="4BF94CA8"/>
    <w:multiLevelType w:val="hybridMultilevel"/>
    <w:tmpl w:val="1E782E3C"/>
    <w:lvl w:ilvl="0" w:tplc="E912092C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3B93EFC"/>
    <w:multiLevelType w:val="hybridMultilevel"/>
    <w:tmpl w:val="1AA8EC98"/>
    <w:lvl w:ilvl="0" w:tplc="FFD654B6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0"/>
  </w:num>
  <w:num w:numId="3">
    <w:abstractNumId w:val="16"/>
  </w:num>
  <w:num w:numId="4">
    <w:abstractNumId w:val="23"/>
  </w:num>
  <w:num w:numId="5">
    <w:abstractNumId w:val="24"/>
  </w:num>
  <w:num w:numId="6">
    <w:abstractNumId w:val="34"/>
  </w:num>
  <w:num w:numId="7">
    <w:abstractNumId w:val="22"/>
  </w:num>
  <w:num w:numId="8">
    <w:abstractNumId w:val="37"/>
  </w:num>
  <w:num w:numId="9">
    <w:abstractNumId w:val="21"/>
  </w:num>
  <w:num w:numId="10">
    <w:abstractNumId w:val="31"/>
  </w:num>
  <w:num w:numId="11">
    <w:abstractNumId w:val="17"/>
  </w:num>
  <w:num w:numId="12">
    <w:abstractNumId w:val="35"/>
  </w:num>
  <w:num w:numId="13">
    <w:abstractNumId w:val="30"/>
  </w:num>
  <w:num w:numId="14">
    <w:abstractNumId w:val="26"/>
  </w:num>
  <w:num w:numId="15">
    <w:abstractNumId w:val="41"/>
  </w:num>
  <w:num w:numId="16">
    <w:abstractNumId w:val="19"/>
  </w:num>
  <w:num w:numId="17">
    <w:abstractNumId w:val="42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6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2"/>
  </w:num>
  <w:num w:numId="23">
    <w:abstractNumId w:val="2"/>
  </w:num>
  <w:num w:numId="24">
    <w:abstractNumId w:val="33"/>
  </w:num>
  <w:num w:numId="25">
    <w:abstractNumId w:val="9"/>
  </w:num>
  <w:num w:numId="26">
    <w:abstractNumId w:val="25"/>
  </w:num>
  <w:num w:numId="27">
    <w:abstractNumId w:val="29"/>
  </w:num>
  <w:num w:numId="28">
    <w:abstractNumId w:val="7"/>
  </w:num>
  <w:num w:numId="29">
    <w:abstractNumId w:val="5"/>
  </w:num>
  <w:num w:numId="30">
    <w:abstractNumId w:val="28"/>
  </w:num>
  <w:num w:numId="31">
    <w:abstractNumId w:val="1"/>
  </w:num>
  <w:num w:numId="32">
    <w:abstractNumId w:val="18"/>
  </w:num>
  <w:num w:numId="33">
    <w:abstractNumId w:val="43"/>
  </w:num>
  <w:num w:numId="34">
    <w:abstractNumId w:val="13"/>
  </w:num>
  <w:num w:numId="35">
    <w:abstractNumId w:val="8"/>
  </w:num>
  <w:num w:numId="36">
    <w:abstractNumId w:val="44"/>
  </w:num>
  <w:num w:numId="37">
    <w:abstractNumId w:val="15"/>
  </w:num>
  <w:num w:numId="38">
    <w:abstractNumId w:val="0"/>
  </w:num>
  <w:num w:numId="39">
    <w:abstractNumId w:val="10"/>
  </w:num>
  <w:num w:numId="40">
    <w:abstractNumId w:val="39"/>
  </w:num>
  <w:num w:numId="41">
    <w:abstractNumId w:val="12"/>
  </w:num>
  <w:num w:numId="42">
    <w:abstractNumId w:val="11"/>
  </w:num>
  <w:num w:numId="43">
    <w:abstractNumId w:val="14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811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236D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3D87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158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16724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466CA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3D98"/>
    <w:rsid w:val="0073758B"/>
    <w:rsid w:val="007530BB"/>
    <w:rsid w:val="007534D1"/>
    <w:rsid w:val="007550BB"/>
    <w:rsid w:val="0076076A"/>
    <w:rsid w:val="0076257C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8F7222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36D87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530D7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1D52-3A93-4CFE-AA44-CFF08221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2020-10-27T04:21:00Z</dcterms:created>
  <dcterms:modified xsi:type="dcterms:W3CDTF">2020-10-27T04:21:00Z</dcterms:modified>
</cp:coreProperties>
</file>