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122573" w14:textId="4B3AE421" w:rsidR="002646B6" w:rsidRPr="00DF06D9" w:rsidRDefault="001149A2" w:rsidP="000B2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8611C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D2680B"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 w:rsidR="000B23B3">
        <w:rPr>
          <w:rFonts w:ascii="Arial" w:eastAsia="Arial" w:hAnsi="Arial" w:cs="Arial"/>
          <w:b/>
          <w:sz w:val="32"/>
          <w:szCs w:val="24"/>
        </w:rPr>
        <w:t>PEPITO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5A72DFC5" w14:textId="5A740434" w:rsidR="000B23B3" w:rsidRPr="00390262" w:rsidRDefault="000B23B3" w:rsidP="0039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6741A0">
        <w:rPr>
          <w:rFonts w:ascii="Arial" w:eastAsia="Arial" w:hAnsi="Arial" w:cs="Arial"/>
          <w:sz w:val="24"/>
          <w:szCs w:val="24"/>
        </w:rPr>
        <w:t>6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6994A41B" w:rsidR="00D10EA4" w:rsidRPr="00475847" w:rsidRDefault="00103236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60D2E08E" w:rsidR="009042CD" w:rsidRPr="00D8611C" w:rsidRDefault="00D8611C" w:rsidP="00A772F8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D8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This is the final report on the Tropical </w:t>
      </w:r>
      <w:r w:rsidR="006F6EBF"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</w:t>
      </w:r>
      <w:r w:rsidRPr="00D8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“PEPITO”.” which entered the Philippine Area of Responsibility (PAR) and intensified into a Tropical Storm (TS) on </w:t>
      </w:r>
      <w:r w:rsidR="006F6EBF">
        <w:rPr>
          <w:rFonts w:ascii="Arial" w:hAnsi="Arial" w:cs="Arial"/>
          <w:sz w:val="24"/>
          <w:szCs w:val="24"/>
          <w:shd w:val="clear" w:color="auto" w:fill="FFFFFF"/>
          <w:lang w:val="en-PH"/>
        </w:rPr>
        <w:t>22</w:t>
      </w:r>
      <w:r w:rsidRPr="00D8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F6EBF"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Pr="00D8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20</w:t>
      </w:r>
      <w:r w:rsidR="006F6EBF">
        <w:rPr>
          <w:rFonts w:ascii="Arial" w:hAnsi="Arial" w:cs="Arial"/>
          <w:sz w:val="24"/>
          <w:szCs w:val="24"/>
          <w:shd w:val="clear" w:color="auto" w:fill="FFFFFF"/>
          <w:lang w:val="en-PH"/>
        </w:rPr>
        <w:t>20.</w:t>
      </w:r>
    </w:p>
    <w:p w14:paraId="185EE80E" w14:textId="6B4E5C2D" w:rsidR="0099075C" w:rsidRDefault="0099075C" w:rsidP="006F6EBF">
      <w:pPr>
        <w:pStyle w:val="NoSpacing1"/>
        <w:rPr>
          <w:rFonts w:ascii="Arial" w:hAnsi="Arial" w:cs="Arial"/>
          <w:shd w:val="clear" w:color="auto" w:fill="FFFFFF"/>
          <w:lang w:val="en-PH"/>
        </w:rPr>
      </w:pPr>
    </w:p>
    <w:p w14:paraId="387F2E55" w14:textId="6E1E0BC2" w:rsidR="002160E8" w:rsidRPr="00603419" w:rsidRDefault="00603419" w:rsidP="00603419">
      <w:pPr>
        <w:pStyle w:val="NoSpacing1"/>
        <w:jc w:val="right"/>
        <w:rPr>
          <w:rFonts w:ascii="Arial" w:hAnsi="Arial" w:cs="Arial"/>
          <w:i/>
          <w:color w:val="0070C0"/>
          <w:shd w:val="clear" w:color="auto" w:fill="FFFFFF"/>
          <w:lang w:val="en-PH"/>
        </w:rPr>
      </w:pPr>
      <w:r w:rsidRPr="00603419">
        <w:rPr>
          <w:rFonts w:ascii="Arial" w:hAnsi="Arial" w:cs="Arial"/>
          <w:i/>
          <w:color w:val="0070C0"/>
          <w:shd w:val="clear" w:color="auto" w:fill="FFFFFF"/>
          <w:lang w:val="en-PH"/>
        </w:rPr>
        <w:t>Source: PAGASA Severe Weather Bulletin</w:t>
      </w: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62678388" w:rsidR="00D63528" w:rsidRPr="006741A0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8A15F5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34,</w:t>
      </w:r>
      <w:r w:rsidR="0051112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9</w:t>
      </w:r>
      <w:r w:rsidR="00266BF5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8</w:t>
      </w:r>
      <w:r w:rsidR="0051112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0</w:t>
      </w:r>
      <w:r w:rsidR="008A15F5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or</w:t>
      </w:r>
      <w:r w:rsidR="00511126"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1112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165,</w:t>
      </w:r>
      <w:r w:rsidR="00266BF5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763</w:t>
      </w:r>
      <w:r w:rsidR="0051112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75847" w:rsidRPr="006741A0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475847" w:rsidRPr="006741A0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9B29FC"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the Tropical Storm “</w:t>
      </w:r>
      <w:r w:rsidR="00882766" w:rsidRPr="006741A0">
        <w:rPr>
          <w:rFonts w:ascii="Arial" w:eastAsia="Arial" w:hAnsi="Arial" w:cs="Arial"/>
          <w:color w:val="000000" w:themeColor="text1"/>
          <w:sz w:val="24"/>
          <w:szCs w:val="24"/>
        </w:rPr>
        <w:t>Pepito</w:t>
      </w:r>
      <w:r w:rsidR="009B29FC" w:rsidRPr="006741A0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="00570583"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3A63"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6741A0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265</w:t>
      </w:r>
      <w:r w:rsidR="009D6FC9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D3A63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barangays </w:t>
      </w:r>
      <w:r w:rsidR="006D3A63" w:rsidRPr="006741A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6D3A63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7039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Regions</w:t>
      </w:r>
      <w:r w:rsidR="0010598D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7039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II, III, </w:t>
      </w:r>
      <w:r w:rsidR="007221BB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>CALABARZON</w:t>
      </w:r>
      <w:r w:rsidR="00F70396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and CAR</w:t>
      </w:r>
      <w:r w:rsidR="007221BB" w:rsidRPr="006741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475847"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see 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5C890233" w:rsidR="00F21A16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Cs w:val="24"/>
        </w:rPr>
        <w:t>Affected Families / Persons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284"/>
        <w:gridCol w:w="7181"/>
        <w:gridCol w:w="2488"/>
        <w:gridCol w:w="2296"/>
        <w:gridCol w:w="2296"/>
        <w:gridCol w:w="422"/>
      </w:tblGrid>
      <w:tr w:rsidR="00376F8E" w:rsidRPr="00376F8E" w14:paraId="0E60A8D3" w14:textId="77777777" w:rsidTr="006741A0">
        <w:trPr>
          <w:gridAfter w:val="1"/>
          <w:wAfter w:w="141" w:type="pct"/>
          <w:trHeight w:val="373"/>
          <w:tblHeader/>
        </w:trPr>
        <w:tc>
          <w:tcPr>
            <w:tcW w:w="2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C981F1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8AFEE0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AFFECTED </w:t>
            </w:r>
          </w:p>
        </w:tc>
      </w:tr>
      <w:tr w:rsidR="00376F8E" w:rsidRPr="00376F8E" w14:paraId="4893E446" w14:textId="77777777" w:rsidTr="006741A0">
        <w:trPr>
          <w:trHeight w:val="20"/>
          <w:tblHeader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396B2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3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F84E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2F7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76F8E" w:rsidRPr="00376F8E" w14:paraId="71008EE8" w14:textId="77777777" w:rsidTr="006741A0">
        <w:trPr>
          <w:trHeight w:val="20"/>
          <w:tblHeader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A92366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BFF552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33089A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DDF688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  <w:tc>
          <w:tcPr>
            <w:tcW w:w="141" w:type="pct"/>
            <w:vAlign w:val="center"/>
            <w:hideMark/>
          </w:tcPr>
          <w:p w14:paraId="2047792E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5705ECDA" w14:textId="77777777" w:rsidTr="006741A0">
        <w:trPr>
          <w:trHeight w:val="20"/>
          <w:tblHeader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77592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5B20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9212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A64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D7F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76F8E" w:rsidRPr="00376F8E" w14:paraId="5B6A66D8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4AED5" w14:textId="77777777" w:rsidR="00376F8E" w:rsidRPr="00376F8E" w:rsidRDefault="00376F8E" w:rsidP="00376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23C0ED" w14:textId="503EB52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D09A2" w14:textId="2955652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34,980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576BE8" w14:textId="4D4E9B1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165,763 </w:t>
            </w:r>
          </w:p>
        </w:tc>
        <w:tc>
          <w:tcPr>
            <w:tcW w:w="141" w:type="pct"/>
            <w:vAlign w:val="center"/>
            <w:hideMark/>
          </w:tcPr>
          <w:p w14:paraId="12D39E3E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38B521D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860C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4C8B9" w14:textId="08EE205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B5174F" w14:textId="59A617F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4BEAB9" w14:textId="4C4B9AF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3,039 </w:t>
            </w:r>
          </w:p>
        </w:tc>
        <w:tc>
          <w:tcPr>
            <w:tcW w:w="141" w:type="pct"/>
            <w:vAlign w:val="center"/>
            <w:hideMark/>
          </w:tcPr>
          <w:p w14:paraId="57787773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5DA34AC3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A0C7C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1DC4BF" w14:textId="620B3BA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182BE" w14:textId="18F524C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173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18513" w14:textId="24ACEE4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665 </w:t>
            </w:r>
          </w:p>
        </w:tc>
        <w:tc>
          <w:tcPr>
            <w:tcW w:w="141" w:type="pct"/>
            <w:vAlign w:val="center"/>
            <w:hideMark/>
          </w:tcPr>
          <w:p w14:paraId="45EAD968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C074325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80ED4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BBC1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Rizal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7B55" w14:textId="7E54DA9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49C4" w14:textId="7A1637B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AE89" w14:textId="0A7A1C4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410 </w:t>
            </w:r>
          </w:p>
        </w:tc>
        <w:tc>
          <w:tcPr>
            <w:tcW w:w="141" w:type="pct"/>
            <w:vAlign w:val="center"/>
            <w:hideMark/>
          </w:tcPr>
          <w:p w14:paraId="3FC67870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C2251A4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AFD7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BD4C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DF8E" w14:textId="036BD4B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2759" w14:textId="3A45BA5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A563A" w14:textId="3DF326F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255 </w:t>
            </w:r>
          </w:p>
        </w:tc>
        <w:tc>
          <w:tcPr>
            <w:tcW w:w="141" w:type="pct"/>
            <w:vAlign w:val="center"/>
            <w:hideMark/>
          </w:tcPr>
          <w:p w14:paraId="2E8AC13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4D04CB8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2B61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FEB44" w14:textId="233277A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16CFD" w14:textId="6279783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F0537" w14:textId="5C2E39A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2,102 </w:t>
            </w:r>
          </w:p>
        </w:tc>
        <w:tc>
          <w:tcPr>
            <w:tcW w:w="141" w:type="pct"/>
            <w:vAlign w:val="center"/>
            <w:hideMark/>
          </w:tcPr>
          <w:p w14:paraId="709810FA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1ACF136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BF91A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0E2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8805" w14:textId="1667224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F4D7" w14:textId="3F421CF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D1D1" w14:textId="48D0B7F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 </w:t>
            </w:r>
          </w:p>
        </w:tc>
        <w:tc>
          <w:tcPr>
            <w:tcW w:w="141" w:type="pct"/>
            <w:vAlign w:val="center"/>
            <w:hideMark/>
          </w:tcPr>
          <w:p w14:paraId="6E8C2679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6AF9CB7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64D5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0C67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Benito </w:t>
            </w: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C121" w14:textId="60A9D4D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F689" w14:textId="2ADA6B9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E705" w14:textId="580E74D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 </w:t>
            </w:r>
          </w:p>
        </w:tc>
        <w:tc>
          <w:tcPr>
            <w:tcW w:w="141" w:type="pct"/>
            <w:vAlign w:val="center"/>
            <w:hideMark/>
          </w:tcPr>
          <w:p w14:paraId="5DAD916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E000E3B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0E31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555B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38BB" w14:textId="77AA750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525F" w14:textId="0262A07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EAD8" w14:textId="153F085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141" w:type="pct"/>
            <w:vAlign w:val="center"/>
            <w:hideMark/>
          </w:tcPr>
          <w:p w14:paraId="30231C43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0F8FA8D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EC9BE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75D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Cordon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574E" w14:textId="4F1E7C9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0688" w14:textId="0F69F3D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55EA" w14:textId="5888DCE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141" w:type="pct"/>
            <w:vAlign w:val="center"/>
            <w:hideMark/>
          </w:tcPr>
          <w:p w14:paraId="6A10C8EC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DE40DC8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AD85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86EE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Dinapigue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3A78" w14:textId="6EF9975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D78D" w14:textId="0B77321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FA6A" w14:textId="4776079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213 </w:t>
            </w:r>
          </w:p>
        </w:tc>
        <w:tc>
          <w:tcPr>
            <w:tcW w:w="141" w:type="pct"/>
            <w:vAlign w:val="center"/>
            <w:hideMark/>
          </w:tcPr>
          <w:p w14:paraId="7A55853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62DDE01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8F17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5299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Ilagan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B17E" w14:textId="2295038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F6A1" w14:textId="30261A8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5FBF" w14:textId="144EE83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139 </w:t>
            </w:r>
          </w:p>
        </w:tc>
        <w:tc>
          <w:tcPr>
            <w:tcW w:w="141" w:type="pct"/>
            <w:vAlign w:val="center"/>
            <w:hideMark/>
          </w:tcPr>
          <w:p w14:paraId="66C8F362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42D22DA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A9950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80CE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Jones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4A81" w14:textId="72524D9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37D0" w14:textId="1A63771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17A2" w14:textId="21B996A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 </w:t>
            </w:r>
          </w:p>
        </w:tc>
        <w:tc>
          <w:tcPr>
            <w:tcW w:w="141" w:type="pct"/>
            <w:vAlign w:val="center"/>
            <w:hideMark/>
          </w:tcPr>
          <w:p w14:paraId="0A52590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3CD4A58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ED479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E02D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Maconacon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FD5C" w14:textId="70DA467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7230" w14:textId="1F2C0F4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6504" w14:textId="1C23EAB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684 </w:t>
            </w:r>
          </w:p>
        </w:tc>
        <w:tc>
          <w:tcPr>
            <w:tcW w:w="141" w:type="pct"/>
            <w:vAlign w:val="center"/>
            <w:hideMark/>
          </w:tcPr>
          <w:p w14:paraId="17063288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2D8BD61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A01FC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0F96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Guillermo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F50B" w14:textId="5D2CF96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4ABD" w14:textId="25AF82F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00C9" w14:textId="188F6F3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262 </w:t>
            </w:r>
          </w:p>
        </w:tc>
        <w:tc>
          <w:tcPr>
            <w:tcW w:w="141" w:type="pct"/>
            <w:vAlign w:val="center"/>
            <w:hideMark/>
          </w:tcPr>
          <w:p w14:paraId="6F0D0DD6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7B709E5A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62F25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706A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Isidro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6168" w14:textId="06B669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B6E2" w14:textId="3EF14AA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EFB7" w14:textId="066DB9A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99 </w:t>
            </w:r>
          </w:p>
        </w:tc>
        <w:tc>
          <w:tcPr>
            <w:tcW w:w="141" w:type="pct"/>
            <w:vAlign w:val="center"/>
            <w:hideMark/>
          </w:tcPr>
          <w:p w14:paraId="4ABE23CF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BABCF99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7E0F3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A6AA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Mariano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A02C" w14:textId="28957F9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9EB6" w14:textId="229A7A2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8715" w14:textId="67A8F26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138 </w:t>
            </w:r>
          </w:p>
        </w:tc>
        <w:tc>
          <w:tcPr>
            <w:tcW w:w="141" w:type="pct"/>
            <w:vAlign w:val="center"/>
            <w:hideMark/>
          </w:tcPr>
          <w:p w14:paraId="038BF7BD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033DF2D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F46C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DD40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City of Santiago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D092" w14:textId="180CA11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2F3A" w14:textId="3155087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BB23" w14:textId="7BD0661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460 </w:t>
            </w:r>
          </w:p>
        </w:tc>
        <w:tc>
          <w:tcPr>
            <w:tcW w:w="141" w:type="pct"/>
            <w:vAlign w:val="center"/>
            <w:hideMark/>
          </w:tcPr>
          <w:p w14:paraId="08F1D2E2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B13C11D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5883B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lastRenderedPageBreak/>
              <w:t>Nueva Vizcaya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812D4" w14:textId="5C63301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72F3A" w14:textId="42E1585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AB803D" w14:textId="0E93832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131 </w:t>
            </w:r>
          </w:p>
        </w:tc>
        <w:tc>
          <w:tcPr>
            <w:tcW w:w="141" w:type="pct"/>
            <w:vAlign w:val="center"/>
            <w:hideMark/>
          </w:tcPr>
          <w:p w14:paraId="48637887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26F7B42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448DB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D2CC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Aritao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C2C3" w14:textId="0B00F43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86D5" w14:textId="0B896AB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8AF8" w14:textId="07B762D8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40 </w:t>
            </w:r>
          </w:p>
        </w:tc>
        <w:tc>
          <w:tcPr>
            <w:tcW w:w="141" w:type="pct"/>
            <w:vAlign w:val="center"/>
            <w:hideMark/>
          </w:tcPr>
          <w:p w14:paraId="16833406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0EE6B6A7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86BD7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0148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Bambang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E965" w14:textId="75F2E8C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910C" w14:textId="3027D788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4C88" w14:textId="2F1F3DE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75 </w:t>
            </w:r>
          </w:p>
        </w:tc>
        <w:tc>
          <w:tcPr>
            <w:tcW w:w="141" w:type="pct"/>
            <w:vAlign w:val="center"/>
            <w:hideMark/>
          </w:tcPr>
          <w:p w14:paraId="047EC8B7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6EE266B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D18D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E07E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Dupax</w:t>
            </w:r>
            <w:proofErr w:type="spellEnd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2C8C" w14:textId="4FF8CC2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CA7B" w14:textId="65F8663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9F6E" w14:textId="75C4A5E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141" w:type="pct"/>
            <w:vAlign w:val="center"/>
            <w:hideMark/>
          </w:tcPr>
          <w:p w14:paraId="31633B7E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2B24BAB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4A1F3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C14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Quezon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2D51" w14:textId="4308DCB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2736" w14:textId="460CD73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1197" w14:textId="77AF558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141" w:type="pct"/>
            <w:vAlign w:val="center"/>
            <w:hideMark/>
          </w:tcPr>
          <w:p w14:paraId="6EBBB8ED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6AAFC32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DA46D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9EA7A" w14:textId="62CCE17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550DFA" w14:textId="60DFB9F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630D8" w14:textId="6310222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141 </w:t>
            </w:r>
          </w:p>
        </w:tc>
        <w:tc>
          <w:tcPr>
            <w:tcW w:w="141" w:type="pct"/>
            <w:vAlign w:val="center"/>
            <w:hideMark/>
          </w:tcPr>
          <w:p w14:paraId="4F8CC69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75A4995A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A0199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38F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Aglipay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B179" w14:textId="5102C01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37B7" w14:textId="5E8B594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2945" w14:textId="61ACF7F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141" w:type="pct"/>
            <w:vAlign w:val="center"/>
            <w:hideMark/>
          </w:tcPr>
          <w:p w14:paraId="06BC01FA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0A57C805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C011D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934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Cabarroguis</w:t>
            </w:r>
            <w:proofErr w:type="spellEnd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A0D2" w14:textId="379B643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8190" w14:textId="6FEF75B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5306" w14:textId="2A7DCC9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79 </w:t>
            </w:r>
          </w:p>
        </w:tc>
        <w:tc>
          <w:tcPr>
            <w:tcW w:w="141" w:type="pct"/>
            <w:vAlign w:val="center"/>
            <w:hideMark/>
          </w:tcPr>
          <w:p w14:paraId="1677BB43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EBCE06A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10A7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B049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Maddela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9D49" w14:textId="147DD4A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DF45" w14:textId="66AF229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4DAF" w14:textId="1C3EBCB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53 </w:t>
            </w:r>
          </w:p>
        </w:tc>
        <w:tc>
          <w:tcPr>
            <w:tcW w:w="141" w:type="pct"/>
            <w:vAlign w:val="center"/>
            <w:hideMark/>
          </w:tcPr>
          <w:p w14:paraId="45D3F077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5555D3A7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A44E2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316E0A" w14:textId="7FCEC03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74A99" w14:textId="42196D1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28,462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D5CF0A" w14:textId="03D6116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136,316 </w:t>
            </w:r>
          </w:p>
        </w:tc>
        <w:tc>
          <w:tcPr>
            <w:tcW w:w="141" w:type="pct"/>
            <w:vAlign w:val="center"/>
            <w:hideMark/>
          </w:tcPr>
          <w:p w14:paraId="5D74650F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5F23BCC7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59A6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0B74E" w14:textId="3699923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52864" w14:textId="5F210A3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8B643C" w14:textId="52C1C16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1,154 </w:t>
            </w:r>
          </w:p>
        </w:tc>
        <w:tc>
          <w:tcPr>
            <w:tcW w:w="141" w:type="pct"/>
            <w:vAlign w:val="center"/>
            <w:hideMark/>
          </w:tcPr>
          <w:p w14:paraId="00913ED2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57785E3C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E0ADD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AD28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AE86" w14:textId="00959F6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2019" w14:textId="1890733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3B9F" w14:textId="57AC9C6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86 </w:t>
            </w:r>
          </w:p>
        </w:tc>
        <w:tc>
          <w:tcPr>
            <w:tcW w:w="141" w:type="pct"/>
            <w:vAlign w:val="center"/>
            <w:hideMark/>
          </w:tcPr>
          <w:p w14:paraId="27EA02C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52C10119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3FF82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04A7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601F" w14:textId="562AA538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5CDB" w14:textId="5631F4B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FDFE" w14:textId="54BAF17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452 </w:t>
            </w:r>
          </w:p>
        </w:tc>
        <w:tc>
          <w:tcPr>
            <w:tcW w:w="141" w:type="pct"/>
            <w:vAlign w:val="center"/>
            <w:hideMark/>
          </w:tcPr>
          <w:p w14:paraId="2DD80192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108393E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40BB9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AAC6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3D5B" w14:textId="41A8874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9438" w14:textId="4127EFE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D8C0" w14:textId="6B40848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41" w:type="pct"/>
            <w:vAlign w:val="center"/>
            <w:hideMark/>
          </w:tcPr>
          <w:p w14:paraId="2F55FE4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8EE9ABA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8BE64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C504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F742" w14:textId="748577D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596C" w14:textId="2ADA52B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51C9" w14:textId="1C2E9E6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253 </w:t>
            </w:r>
          </w:p>
        </w:tc>
        <w:tc>
          <w:tcPr>
            <w:tcW w:w="141" w:type="pct"/>
            <w:vAlign w:val="center"/>
            <w:hideMark/>
          </w:tcPr>
          <w:p w14:paraId="2D1565C9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B908DFC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288B7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C8B2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Dingalan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23F0" w14:textId="08966A5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8EC6" w14:textId="481DCC3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FA94" w14:textId="6864C70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293 </w:t>
            </w:r>
          </w:p>
        </w:tc>
        <w:tc>
          <w:tcPr>
            <w:tcW w:w="141" w:type="pct"/>
            <w:vAlign w:val="center"/>
            <w:hideMark/>
          </w:tcPr>
          <w:p w14:paraId="0610BF89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3D90543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E4A0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8D11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Maria 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ED4" w14:textId="293FD8A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4A0F" w14:textId="6B5A987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02A2" w14:textId="3957461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19 </w:t>
            </w:r>
          </w:p>
        </w:tc>
        <w:tc>
          <w:tcPr>
            <w:tcW w:w="141" w:type="pct"/>
            <w:vAlign w:val="center"/>
            <w:hideMark/>
          </w:tcPr>
          <w:p w14:paraId="23A9CAE2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4FB15C5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BA7EA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AE47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Luis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8D6B" w14:textId="0DE3FD7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217C" w14:textId="59715938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3CD5" w14:textId="58684C3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39 </w:t>
            </w:r>
          </w:p>
        </w:tc>
        <w:tc>
          <w:tcPr>
            <w:tcW w:w="141" w:type="pct"/>
            <w:vAlign w:val="center"/>
            <w:hideMark/>
          </w:tcPr>
          <w:p w14:paraId="083C865B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B297D18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EEFB1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Bulacan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E644B" w14:textId="7099AE9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A68FC" w14:textId="319D929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4,235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3A8049" w14:textId="1FED60D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23,935 </w:t>
            </w:r>
          </w:p>
        </w:tc>
        <w:tc>
          <w:tcPr>
            <w:tcW w:w="141" w:type="pct"/>
            <w:vAlign w:val="center"/>
            <w:hideMark/>
          </w:tcPr>
          <w:p w14:paraId="79584A5B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1778877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0DB43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4F23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Miguel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DB97" w14:textId="34581E1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FC94" w14:textId="0F82040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4,235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B9F8" w14:textId="3575FF7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23,935 </w:t>
            </w:r>
          </w:p>
        </w:tc>
        <w:tc>
          <w:tcPr>
            <w:tcW w:w="141" w:type="pct"/>
            <w:vAlign w:val="center"/>
            <w:hideMark/>
          </w:tcPr>
          <w:p w14:paraId="07ED30D8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8DAA651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B075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Ecija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53A5F" w14:textId="68583FA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6D16F8" w14:textId="6FA85AD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9,762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6F45F" w14:textId="2B99DD6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42,760 </w:t>
            </w:r>
          </w:p>
        </w:tc>
        <w:tc>
          <w:tcPr>
            <w:tcW w:w="141" w:type="pct"/>
            <w:vAlign w:val="center"/>
            <w:hideMark/>
          </w:tcPr>
          <w:p w14:paraId="4BA9B6E7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079D9C54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B4892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C608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Cabanatuan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F533" w14:textId="1BB9B7B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8CA2" w14:textId="4C1C15C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6,487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D3EE" w14:textId="5AD8E23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30,887 </w:t>
            </w:r>
          </w:p>
        </w:tc>
        <w:tc>
          <w:tcPr>
            <w:tcW w:w="141" w:type="pct"/>
            <w:vAlign w:val="center"/>
            <w:hideMark/>
          </w:tcPr>
          <w:p w14:paraId="098D2A5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701ECE2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04C1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2977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Licab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B3C4" w14:textId="09C7623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31A8" w14:textId="330B5A3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2,778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D07F" w14:textId="1924A66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9,414 </w:t>
            </w:r>
          </w:p>
        </w:tc>
        <w:tc>
          <w:tcPr>
            <w:tcW w:w="141" w:type="pct"/>
            <w:vAlign w:val="center"/>
            <w:hideMark/>
          </w:tcPr>
          <w:p w14:paraId="3B22898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76BB3F2B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97DD4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2527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Isidro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1BAB" w14:textId="62F6C99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2213" w14:textId="2109280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FA28" w14:textId="4B9DC7E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2,285 </w:t>
            </w:r>
          </w:p>
        </w:tc>
        <w:tc>
          <w:tcPr>
            <w:tcW w:w="141" w:type="pct"/>
            <w:vAlign w:val="center"/>
            <w:hideMark/>
          </w:tcPr>
          <w:p w14:paraId="6D29C6C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E094A9C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391B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6440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Talavera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C1DE" w14:textId="2641C5B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3A97" w14:textId="79170C5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7DA3" w14:textId="6963A88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174 </w:t>
            </w:r>
          </w:p>
        </w:tc>
        <w:tc>
          <w:tcPr>
            <w:tcW w:w="141" w:type="pct"/>
            <w:vAlign w:val="center"/>
            <w:hideMark/>
          </w:tcPr>
          <w:p w14:paraId="7FAA945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79D0315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01252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Pampanga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BB0DA" w14:textId="7E39128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CC6599" w14:textId="4544129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14,157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28694" w14:textId="2FA722D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68,467 </w:t>
            </w:r>
          </w:p>
        </w:tc>
        <w:tc>
          <w:tcPr>
            <w:tcW w:w="141" w:type="pct"/>
            <w:vAlign w:val="center"/>
            <w:hideMark/>
          </w:tcPr>
          <w:p w14:paraId="0DD1E078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94DBBB5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C0BE7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7D80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Masantol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7696" w14:textId="6DACE20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1F3A" w14:textId="3D2E6E8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14,157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B986" w14:textId="655A7C6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68,467 </w:t>
            </w:r>
          </w:p>
        </w:tc>
        <w:tc>
          <w:tcPr>
            <w:tcW w:w="141" w:type="pct"/>
            <w:vAlign w:val="center"/>
            <w:hideMark/>
          </w:tcPr>
          <w:p w14:paraId="0916587F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2F78389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6D1BD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492856" w14:textId="343320C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9D3BA3" w14:textId="36111FD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5,674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05D898" w14:textId="00E552D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26,405 </w:t>
            </w:r>
          </w:p>
        </w:tc>
        <w:tc>
          <w:tcPr>
            <w:tcW w:w="141" w:type="pct"/>
            <w:vAlign w:val="center"/>
            <w:hideMark/>
          </w:tcPr>
          <w:p w14:paraId="65532D23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4C7AA42F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E0739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Laguna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E7D11F" w14:textId="09D219F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E9409" w14:textId="5492F3C8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20E2F" w14:textId="7C024E8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 </w:t>
            </w:r>
          </w:p>
        </w:tc>
        <w:tc>
          <w:tcPr>
            <w:tcW w:w="141" w:type="pct"/>
            <w:vAlign w:val="center"/>
            <w:hideMark/>
          </w:tcPr>
          <w:p w14:paraId="30371703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5C29FC6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6D9A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6E3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Santa Cruz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C91D" w14:textId="5E06AB3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198D" w14:textId="64B66BC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2305" w14:textId="2AE9437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141" w:type="pct"/>
            <w:vAlign w:val="center"/>
            <w:hideMark/>
          </w:tcPr>
          <w:p w14:paraId="28D746C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F2045B4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84F36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83B41F" w14:textId="04EAE9E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A1B325" w14:textId="71458453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5,672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6280E2" w14:textId="358DB3C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26,396 </w:t>
            </w:r>
          </w:p>
        </w:tc>
        <w:tc>
          <w:tcPr>
            <w:tcW w:w="141" w:type="pct"/>
            <w:vAlign w:val="center"/>
            <w:hideMark/>
          </w:tcPr>
          <w:p w14:paraId="6AF75FBA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06660BCB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C9DC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AAA1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Buenavista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B4B0" w14:textId="7DEB6AE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8160" w14:textId="715F3F0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3DFA" w14:textId="513F45F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189 </w:t>
            </w:r>
          </w:p>
        </w:tc>
        <w:tc>
          <w:tcPr>
            <w:tcW w:w="141" w:type="pct"/>
            <w:vAlign w:val="center"/>
            <w:hideMark/>
          </w:tcPr>
          <w:p w14:paraId="6C0E948E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B538B56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F1622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058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B070" w14:textId="2A7CB66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84E4" w14:textId="64C4602C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EE41" w14:textId="66567DB0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2,305 </w:t>
            </w:r>
          </w:p>
        </w:tc>
        <w:tc>
          <w:tcPr>
            <w:tcW w:w="141" w:type="pct"/>
            <w:vAlign w:val="center"/>
            <w:hideMark/>
          </w:tcPr>
          <w:p w14:paraId="03FCFBC6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73A4217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522C1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2F04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6B51" w14:textId="5276D3B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EB7A" w14:textId="51A4F71F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1,829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7420" w14:textId="3262B15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9,145 </w:t>
            </w:r>
          </w:p>
        </w:tc>
        <w:tc>
          <w:tcPr>
            <w:tcW w:w="141" w:type="pct"/>
            <w:vAlign w:val="center"/>
            <w:hideMark/>
          </w:tcPr>
          <w:p w14:paraId="6065AA1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0516E829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6461E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DDF6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General Luna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2A3F" w14:textId="1C4EE26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D5A61" w14:textId="5FEABEA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E426" w14:textId="2BB6C98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158 </w:t>
            </w:r>
          </w:p>
        </w:tc>
        <w:tc>
          <w:tcPr>
            <w:tcW w:w="141" w:type="pct"/>
            <w:vAlign w:val="center"/>
            <w:hideMark/>
          </w:tcPr>
          <w:p w14:paraId="1B4D71E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BDC2E09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52670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83B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9B9B" w14:textId="1395E9E4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75E1" w14:textId="169834D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1A25" w14:textId="0010E0E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965 </w:t>
            </w:r>
          </w:p>
        </w:tc>
        <w:tc>
          <w:tcPr>
            <w:tcW w:w="141" w:type="pct"/>
            <w:vAlign w:val="center"/>
            <w:hideMark/>
          </w:tcPr>
          <w:p w14:paraId="005DDC6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2C1B20FF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EDCF9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0C2E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24BE" w14:textId="66448F0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534F" w14:textId="70DF0AD2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1,637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BFB6" w14:textId="17593DB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6,861 </w:t>
            </w:r>
          </w:p>
        </w:tc>
        <w:tc>
          <w:tcPr>
            <w:tcW w:w="141" w:type="pct"/>
            <w:vAlign w:val="center"/>
            <w:hideMark/>
          </w:tcPr>
          <w:p w14:paraId="6BDD83EE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4D24409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DA0E4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24E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Real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2567" w14:textId="59EE6E1A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D3CF" w14:textId="2AA48C6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7B8D" w14:textId="2B64610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23 </w:t>
            </w:r>
          </w:p>
        </w:tc>
        <w:tc>
          <w:tcPr>
            <w:tcW w:w="141" w:type="pct"/>
            <w:vAlign w:val="center"/>
            <w:hideMark/>
          </w:tcPr>
          <w:p w14:paraId="5E379169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66B6E500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8CD68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FB34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CD5D" w14:textId="7D883C19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299A" w14:textId="049BF45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1,350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B0FF" w14:textId="5A7E791B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6,750 </w:t>
            </w:r>
          </w:p>
        </w:tc>
        <w:tc>
          <w:tcPr>
            <w:tcW w:w="141" w:type="pct"/>
            <w:vAlign w:val="center"/>
            <w:hideMark/>
          </w:tcPr>
          <w:p w14:paraId="62D6D50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06351604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C1615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67D860" w14:textId="30A6656E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E4D649" w14:textId="708BDFC1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FD6838" w14:textId="19A43F1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141" w:type="pct"/>
            <w:vAlign w:val="center"/>
            <w:hideMark/>
          </w:tcPr>
          <w:p w14:paraId="1F93DA94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17DA0F05" w14:textId="77777777" w:rsidTr="006741A0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A5E69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>Benguet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24BC82" w14:textId="5113790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0A351" w14:textId="0A9A401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6616F7" w14:textId="2AA5E43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141" w:type="pct"/>
            <w:vAlign w:val="center"/>
            <w:hideMark/>
          </w:tcPr>
          <w:p w14:paraId="5F8BF8F1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F8E" w:rsidRPr="00376F8E" w14:paraId="34D1BFC7" w14:textId="77777777" w:rsidTr="006741A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EE1A6" w14:textId="77777777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64EF" w14:textId="77777777" w:rsidR="00376F8E" w:rsidRPr="00376F8E" w:rsidRDefault="00376F8E" w:rsidP="00376F8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>Baguio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1789" w14:textId="6D2509C5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E67F" w14:textId="0F98B9E6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5634" w14:textId="41F293BD" w:rsidR="00376F8E" w:rsidRPr="00376F8E" w:rsidRDefault="00376F8E" w:rsidP="00376F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76F8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141" w:type="pct"/>
            <w:vAlign w:val="center"/>
            <w:hideMark/>
          </w:tcPr>
          <w:p w14:paraId="7431C7FA" w14:textId="77777777" w:rsidR="00376F8E" w:rsidRPr="00376F8E" w:rsidRDefault="00376F8E" w:rsidP="00376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3337F5" w14:textId="63F4363F" w:rsidR="007534D1" w:rsidRPr="00475847" w:rsidRDefault="007534D1" w:rsidP="00204633">
      <w:pPr>
        <w:spacing w:after="0" w:line="240" w:lineRule="auto"/>
        <w:ind w:left="10437" w:firstLine="363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221BB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204633">
        <w:rPr>
          <w:rFonts w:ascii="Arial" w:eastAsia="Arial" w:hAnsi="Arial" w:cs="Arial"/>
          <w:i/>
          <w:color w:val="0070C0"/>
          <w:sz w:val="16"/>
          <w:szCs w:val="24"/>
        </w:rPr>
        <w:t xml:space="preserve">II, III, </w:t>
      </w:r>
      <w:r w:rsidR="007221BB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 w:rsidR="00204633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F6CB451" w14:textId="77777777" w:rsidR="006E5529" w:rsidRDefault="006E5529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491BD9B2" w:rsidR="00B93C24" w:rsidRPr="00B02EDE" w:rsidRDefault="00B93C24" w:rsidP="00B02EDE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488D178" w14:textId="7120637F" w:rsidR="00B93C24" w:rsidRDefault="00B93C24" w:rsidP="00B93C2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0296014B" w14:textId="77777777" w:rsidR="00C86F05" w:rsidRPr="00C86F05" w:rsidRDefault="00C86F05" w:rsidP="00C86F05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D8B29F" w14:textId="6716CF2B" w:rsidR="00B93C24" w:rsidRPr="006F6EBF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F6EBF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F6EBF" w:rsidRPr="006F6EBF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6F6EBF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4,890 </w:t>
      </w:r>
      <w:r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6F6EBF">
        <w:rPr>
          <w:rFonts w:ascii="Arial" w:eastAsia="Arial" w:hAnsi="Arial" w:cs="Arial"/>
          <w:color w:val="000000" w:themeColor="text1"/>
          <w:sz w:val="24"/>
          <w:szCs w:val="24"/>
        </w:rPr>
        <w:t xml:space="preserve"> or</w:t>
      </w:r>
      <w:r w:rsidR="006F6EBF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21,363</w:t>
      </w:r>
      <w:r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6F6EBF">
        <w:rPr>
          <w:rFonts w:ascii="Arial" w:eastAsia="Arial" w:hAnsi="Arial" w:cs="Arial"/>
          <w:color w:val="000000" w:themeColor="text1"/>
          <w:sz w:val="24"/>
          <w:szCs w:val="24"/>
        </w:rPr>
        <w:t xml:space="preserve"> taking temporary shelter in </w:t>
      </w:r>
      <w:r w:rsidR="006F6EBF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>150</w:t>
      </w:r>
      <w:r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evacuation </w:t>
      </w:r>
      <w:r w:rsidR="006F6EBF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>centers</w:t>
      </w:r>
      <w:r w:rsidRPr="006F6EBF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>Region</w:t>
      </w:r>
      <w:r w:rsidR="00EF58C6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r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F58C6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II, III </w:t>
      </w:r>
      <w:r w:rsidR="00EF58C6" w:rsidRPr="006F6EB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EF58C6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CALABARZON</w:t>
      </w:r>
      <w:r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F6EB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7496949" w14:textId="77777777" w:rsidR="00B93C24" w:rsidRPr="00A131E0" w:rsidRDefault="00B93C24" w:rsidP="00B93C2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DE1D214" w:rsidR="00B93C2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 2. Status of Displaced Families</w:t>
      </w:r>
      <w:r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 Persons Inside Evacuation Centers</w:t>
      </w:r>
    </w:p>
    <w:tbl>
      <w:tblPr>
        <w:tblW w:w="4771" w:type="pct"/>
        <w:tblInd w:w="704" w:type="dxa"/>
        <w:tblLook w:val="04A0" w:firstRow="1" w:lastRow="0" w:firstColumn="1" w:lastColumn="0" w:noHBand="0" w:noVBand="1"/>
      </w:tblPr>
      <w:tblGrid>
        <w:gridCol w:w="285"/>
        <w:gridCol w:w="3674"/>
        <w:gridCol w:w="1354"/>
        <w:gridCol w:w="1289"/>
        <w:gridCol w:w="2018"/>
        <w:gridCol w:w="2023"/>
        <w:gridCol w:w="2018"/>
        <w:gridCol w:w="2023"/>
      </w:tblGrid>
      <w:tr w:rsidR="006F6EBF" w:rsidRPr="006F6EBF" w14:paraId="73A9E4FD" w14:textId="77777777" w:rsidTr="006F6EBF">
        <w:trPr>
          <w:trHeight w:val="20"/>
          <w:tblHeader/>
        </w:trPr>
        <w:tc>
          <w:tcPr>
            <w:tcW w:w="1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91A741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CA5E9F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9CFD2F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DISPLACED </w:t>
            </w:r>
          </w:p>
        </w:tc>
      </w:tr>
      <w:tr w:rsidR="006F6EBF" w:rsidRPr="006F6EBF" w14:paraId="6D24687B" w14:textId="77777777" w:rsidTr="006F6EBF">
        <w:trPr>
          <w:trHeight w:val="20"/>
          <w:tblHeader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2B3E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0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D41D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54D962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INSIDE ECs </w:t>
            </w:r>
          </w:p>
        </w:tc>
      </w:tr>
      <w:tr w:rsidR="006F6EBF" w:rsidRPr="006F6EBF" w14:paraId="64B76514" w14:textId="77777777" w:rsidTr="006F6EBF">
        <w:trPr>
          <w:trHeight w:val="20"/>
          <w:tblHeader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C91565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0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68DF2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C056FA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59B65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(Actual) </w:t>
            </w:r>
          </w:p>
        </w:tc>
      </w:tr>
      <w:tr w:rsidR="006F6EBF" w:rsidRPr="006F6EBF" w14:paraId="1B121E18" w14:textId="77777777" w:rsidTr="006F6EBF">
        <w:trPr>
          <w:trHeight w:val="20"/>
          <w:tblHeader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AADA5FA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C54F60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82CA67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9B918E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2BE103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63DD31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29AE57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</w:tr>
      <w:tr w:rsidR="006F6EBF" w:rsidRPr="006F6EBF" w14:paraId="24397E20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F860B5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A2CF2E" w14:textId="1CF0B04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150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F2DFDE" w14:textId="08801C2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831E6A" w14:textId="4691519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4,890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32AF63" w14:textId="6D1EECB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7F2B81" w14:textId="3B5819B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21,363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B4B2BA" w14:textId="3CB5446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420A9237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846C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AF0545" w14:textId="1EB684C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6A19E2" w14:textId="02CB738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6FC9A5" w14:textId="4B59756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602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9790EA" w14:textId="1AF8699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F2FE9" w14:textId="145BAA8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2,123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FDBB63" w14:textId="4C940C3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175DA5F2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82C3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E5D4FC" w14:textId="48C9170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28A38F" w14:textId="7D9643C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780E4" w14:textId="0877830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85970" w14:textId="7B6FB67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4BD06B" w14:textId="7F702DF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74B39" w14:textId="69A04C9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5F14530E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FF64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8E4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D3E6" w14:textId="0FB1927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F3AD" w14:textId="0032C98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F482" w14:textId="1070B5D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160F" w14:textId="7FC2521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40F3" w14:textId="15C557C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7BB9" w14:textId="5223C2B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5CA6D28F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31AAD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3297A" w14:textId="29D1307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B03DC" w14:textId="5C7D73B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900742" w14:textId="7747512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539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33E06" w14:textId="4BF42EC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F5E38" w14:textId="3FF5A3C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1,917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E75B7" w14:textId="29D393A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39397A3B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89311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A1D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Aurora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2E9F" w14:textId="6279A30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37FF" w14:textId="10ECF1D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E7E3" w14:textId="02F7D8A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C1EB" w14:textId="31BECC9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35C7" w14:textId="24BEAC4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F23B" w14:textId="7AE46B3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44525812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2F722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BB0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CA8D" w14:textId="64FE382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3B1F" w14:textId="7A816D4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DB12" w14:textId="047A867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0DF6" w14:textId="05923BD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A10F" w14:textId="23F0D46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9EAF" w14:textId="11A8213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0E78FDC0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982BB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11C1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Cordon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0070" w14:textId="7B9E951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B508" w14:textId="0641262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E6C5" w14:textId="6455ADB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FEDC" w14:textId="1CBB076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4253" w14:textId="4C7FE61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1C22" w14:textId="68EFD6A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5F91A0F3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B677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53B1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Dinapigue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72C2" w14:textId="13D0379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64ED" w14:textId="4022792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B9E1" w14:textId="47E1688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C83B" w14:textId="4F8CD43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2A97" w14:textId="4EE2645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D4AB" w14:textId="1736675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4CFAE7CF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7BA4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3BF6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Ilagan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3019" w14:textId="39B7BFA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FFDC" w14:textId="4A18587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470E" w14:textId="271D408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BD67" w14:textId="63F0DFC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DFAC" w14:textId="5A21BF1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BFB8" w14:textId="13E1F8D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5F684019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BD49A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0113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Jones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E34F" w14:textId="375E33A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2A62" w14:textId="7CD05C1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E5E3" w14:textId="2AE0636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3213" w14:textId="4E9B733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B913" w14:textId="405FD6A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F442" w14:textId="582B3CE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2F326B3B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FDACC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8FA4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Maconacon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3DA6" w14:textId="23019C9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F68C" w14:textId="0D439C1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529F" w14:textId="10E5ECE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57AE" w14:textId="4A24ED8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97B6" w14:textId="635296F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F15D" w14:textId="213292A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23DAF302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88662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302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San Guillermo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E844" w14:textId="2CAE462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6234" w14:textId="216DEF6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3523" w14:textId="6286055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6E28" w14:textId="126DF9E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EAB1" w14:textId="30FABB7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735F" w14:textId="2453844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774FF1EB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51FF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54F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Mariano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68F5" w14:textId="72C92A1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55CE4" w14:textId="1A53E3F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6128" w14:textId="6F240CE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1C91" w14:textId="095711B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A2C5" w14:textId="68E271A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2CF9" w14:textId="17E1E02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332A8466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0BDAE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90D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City of Santiago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3D38" w14:textId="7E6CFFA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1B5" w14:textId="58F823A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D9F7" w14:textId="2700F80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B112" w14:textId="49CDA3D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DF4D" w14:textId="42ABB0D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45B2" w14:textId="6D37DE5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49C3F925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60284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Vizcaya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3B440B" w14:textId="0B7FFA5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E156A" w14:textId="0ED0F5B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86A6C" w14:textId="1265C68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78A67" w14:textId="5725AC9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A54ABD" w14:textId="31A8670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10CC6" w14:textId="58A3BFB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13FD7E5A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9EBE3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4F71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Bambang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4BCA" w14:textId="0703A3D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3E87" w14:textId="4523271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9916" w14:textId="1293DF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A4E0" w14:textId="2226340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14F1" w14:textId="36981E7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4D25" w14:textId="66EABEA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2DEB3F49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50A8C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A47B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Dupax</w:t>
            </w:r>
            <w:proofErr w:type="spellEnd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D3D5" w14:textId="5094C3B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615B" w14:textId="6D93632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A4C5" w14:textId="52F088C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E2B2" w14:textId="6CF0A3E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AB4B" w14:textId="3CD98B2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33FC" w14:textId="577216C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66469FD6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AD36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B45A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Quezon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C254" w14:textId="2F0CBF5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DDFF" w14:textId="7B41B8F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2C11" w14:textId="475CD80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7D5E" w14:textId="7625BAC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35EB" w14:textId="6D585B1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701C" w14:textId="4CCA3E3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7AA575BE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EC164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DF258" w14:textId="294AD5E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6EBB7" w14:textId="5ABD431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DABD6" w14:textId="6DBF58D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62136" w14:textId="0ED2505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4E0BE" w14:textId="31684B6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141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EC7D8" w14:textId="5042A7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7E33751F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F6C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1AC4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Aglipay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AF51" w14:textId="0A5915B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6F4D" w14:textId="0163BA3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8B48" w14:textId="465FA5D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65F" w14:textId="6961E55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53B7" w14:textId="54C2A05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47DB" w14:textId="655FBF8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635B16BC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131EE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411D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Cabarroguis</w:t>
            </w:r>
            <w:proofErr w:type="spellEnd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494" w14:textId="7B67ADF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E318" w14:textId="6062E09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0E0D" w14:textId="5340EA4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C5CB" w14:textId="1310331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B1A6" w14:textId="7680E0E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F56D" w14:textId="53480AD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23BB642C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416B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645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Maddela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383D" w14:textId="6FB17EA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5A92" w14:textId="7D5F560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67C9" w14:textId="566F219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4E33" w14:textId="4337C0D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05F8" w14:textId="63B9209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D649" w14:textId="25BFC31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36BF9602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EA18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88BFEB" w14:textId="321C56D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377377" w14:textId="632C470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554E96" w14:textId="59D5606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B4865E" w14:textId="37F244B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938EA0" w14:textId="3A9B45E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2,387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37F17" w14:textId="4608884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1DF5D4D5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A9FEB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5E85E" w14:textId="7547208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02A81" w14:textId="4176F4C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5B4DDC" w14:textId="2970AAA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229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6D732" w14:textId="00EDD1C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A971F" w14:textId="7DE10CF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854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440C6" w14:textId="1B09904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5D71D186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BCA0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50B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645C" w14:textId="0FBA9E2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075F" w14:textId="1FE9A17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9B5C" w14:textId="54E0B0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D5B6" w14:textId="7521BA2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9749" w14:textId="3161D24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A236" w14:textId="66B8CC2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1444A7D4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FEEB3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2DE2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FD76" w14:textId="7BFABB5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60D8" w14:textId="00BC438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3B86" w14:textId="55C4C70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63AA" w14:textId="3C28D94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3E62" w14:textId="6747EF3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1655" w14:textId="7C3A0E2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69C0DFBF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7278A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A376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C6E6" w14:textId="1BBB349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4803" w14:textId="01FFE3E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687D" w14:textId="0C633AB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7599" w14:textId="021A8CA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67E4" w14:textId="258817C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7297" w14:textId="5FA824B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2CF83570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49AE0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39D8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15B2" w14:textId="2ACE2CE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1BD0" w14:textId="4D816F5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E5B5" w14:textId="6831030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475F" w14:textId="31B0927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A93B" w14:textId="0433F0D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140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0C3C" w14:textId="7B855E8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1BD47EAE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6C2C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5C3A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Dingalan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1AA7" w14:textId="450C502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3CA0" w14:textId="74C6D90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BCAA" w14:textId="68C41C9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86DE" w14:textId="5DC3246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ECEF" w14:textId="0D8FDE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293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5116" w14:textId="6A2534B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7910BD11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C89D7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D285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Maria Aurora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3B36" w14:textId="6128FA7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9369" w14:textId="5E752C3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E250" w14:textId="7A60CD5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CF42" w14:textId="31C0E1F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F9A8" w14:textId="55AFCC4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8457" w14:textId="58055C1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4C8F69D7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22F9D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4605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San Luis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F932" w14:textId="0C65A1B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C2A9" w14:textId="081E9B0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C2E2" w14:textId="5130C37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2ABF" w14:textId="5CE8E0E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CC8A3" w14:textId="1C26399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FA97" w14:textId="109FEC0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0AFC61C2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C4807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Ecija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4161B" w14:textId="592091D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0A9F4" w14:textId="4511A87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D4CC8E" w14:textId="22BA0A3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384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B86F67" w14:textId="4FCA0E1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69A29" w14:textId="23B7EC4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1,533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4E546" w14:textId="68A7024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2064702A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133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F73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Cabanatuan City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E10C" w14:textId="1869552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718D" w14:textId="444023F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FB65" w14:textId="4267D8E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384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5556" w14:textId="4AC79F6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C9FD" w14:textId="1E6DE53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1,533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D197" w14:textId="417E67C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60919A99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FBAB9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1B1F46" w14:textId="707541E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BB8FE" w14:textId="12A6523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44A5B6" w14:textId="61CCD52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3,675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963539" w14:textId="1AB06A1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849A14" w14:textId="0F59766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16,853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17F151" w14:textId="0E3D3E6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31392131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4C842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Laguna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35C4C" w14:textId="0AFC42E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8C505" w14:textId="0DDAC91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B42EE" w14:textId="3216685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396CE" w14:textId="78FF495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D1781" w14:textId="256C356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B9252" w14:textId="64C04F0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799C0C43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B20A0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936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Santa Cruz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E628" w14:textId="3FC6766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8EC2" w14:textId="7A94E56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76A0" w14:textId="37C651F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C346" w14:textId="615B00A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2487" w14:textId="1D5BF23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2F8E" w14:textId="096B369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3E7EC945" w14:textId="77777777" w:rsidTr="006F6EBF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F5096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38871" w14:textId="59C1F32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6644B" w14:textId="464917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253DC" w14:textId="32BBC30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3,673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F7E4C1" w14:textId="6F3653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FA50B" w14:textId="3F9C25F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16,844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3B642C" w14:textId="731C346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6F6EBF" w:rsidRPr="006F6EBF" w14:paraId="4249F292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C3B61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AD84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5A0D" w14:textId="63062E8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67EF" w14:textId="53CEF81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130A" w14:textId="1D95C84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50F5" w14:textId="4447126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972D" w14:textId="01FDB8C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2,305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80D2" w14:textId="4AA82D4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00DD60A5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B5AA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0071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C60B" w14:textId="3ABECA0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696B" w14:textId="008A052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E40C" w14:textId="1698A50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1,829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6059" w14:textId="47ADB4D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14D1" w14:textId="4C25CA4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9,145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71A4" w14:textId="2DB4BD0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60D7B703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590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5F8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General Luna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7D67" w14:textId="0FC69BD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B256" w14:textId="27D0D5D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3F85" w14:textId="1298A92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A696" w14:textId="47073FA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9718" w14:textId="39AD9E8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149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3BF3" w14:textId="6901456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6C67CE32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4D0D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D7B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75BA" w14:textId="6AF28FE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5B61" w14:textId="7AF702D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66FC" w14:textId="06EB469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CE14" w14:textId="37A5BB6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AAE8" w14:textId="5F92CDD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555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77B9" w14:textId="06F4CB8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1D0180DC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E33C5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0413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423D" w14:textId="3467BD1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093B" w14:textId="016955E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0C01" w14:textId="462E1FF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1,151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4799" w14:textId="13E55D7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8C21" w14:textId="57B4C61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4,667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95C4" w14:textId="20D1856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6F6EBF" w:rsidRPr="006F6EBF" w14:paraId="261657FB" w14:textId="77777777" w:rsidTr="006F6EB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926C0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81B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Real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48BD" w14:textId="2BD8BB6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5806" w14:textId="0CED868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9E18" w14:textId="449170F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D63B" w14:textId="259EFCA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9BA1" w14:textId="41443A4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559F" w14:textId="0EF73EE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</w:tbl>
    <w:p w14:paraId="14B2CC76" w14:textId="14BE9605" w:rsidR="00EF58C6" w:rsidRDefault="00EF58C6" w:rsidP="00EF58C6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 II, III and CALABARZON</w:t>
      </w:r>
    </w:p>
    <w:p w14:paraId="6E8DEF44" w14:textId="77777777" w:rsidR="006F6EBF" w:rsidRPr="00EF58C6" w:rsidRDefault="006F6EBF" w:rsidP="00EF58C6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7777777" w:rsidR="00B93C24" w:rsidRDefault="00B93C24" w:rsidP="00B93C2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442D3B95" w14:textId="620A95D1" w:rsidR="00B93C24" w:rsidRPr="00AF7C70" w:rsidRDefault="00AC67DF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6741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2,120 famil</w:t>
      </w:r>
      <w:r w:rsidR="00BA1138" w:rsidRPr="006741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ies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Pr="006741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9,995 persons</w:t>
      </w:r>
      <w:r w:rsidRPr="006741A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 xml:space="preserve">have temporarily stayed with their relatives and/or friends </w:t>
      </w:r>
      <w:r w:rsidR="00B93C24" w:rsidRPr="008A28C8">
        <w:rPr>
          <w:rFonts w:ascii="Arial" w:eastAsia="Arial" w:hAnsi="Arial" w:cs="Arial"/>
          <w:sz w:val="24"/>
          <w:szCs w:val="24"/>
        </w:rPr>
        <w:t xml:space="preserve">in </w:t>
      </w:r>
      <w:r w:rsidR="00B13D07">
        <w:rPr>
          <w:rFonts w:ascii="Arial" w:eastAsia="Arial" w:hAnsi="Arial" w:cs="Arial"/>
          <w:b/>
          <w:sz w:val="24"/>
          <w:szCs w:val="24"/>
        </w:rPr>
        <w:t>Region</w:t>
      </w:r>
      <w:r>
        <w:rPr>
          <w:rFonts w:ascii="Arial" w:eastAsia="Arial" w:hAnsi="Arial" w:cs="Arial"/>
          <w:b/>
          <w:sz w:val="24"/>
          <w:szCs w:val="24"/>
        </w:rPr>
        <w:t>s II, III, CALABARZON, and CAR</w:t>
      </w:r>
      <w:r w:rsidR="00B93C24" w:rsidRPr="00AF7C70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1653AF07" w14:textId="77777777" w:rsidR="00B93C2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77777777" w:rsidR="00B93C24" w:rsidRPr="008A28C8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 3. Status of Displaced Families / Persons Outside Evacuation Centers</w:t>
      </w:r>
    </w:p>
    <w:tbl>
      <w:tblPr>
        <w:tblW w:w="4771" w:type="pct"/>
        <w:tblInd w:w="704" w:type="dxa"/>
        <w:tblLook w:val="04A0" w:firstRow="1" w:lastRow="0" w:firstColumn="1" w:lastColumn="0" w:noHBand="0" w:noVBand="1"/>
      </w:tblPr>
      <w:tblGrid>
        <w:gridCol w:w="709"/>
        <w:gridCol w:w="4220"/>
        <w:gridCol w:w="2440"/>
        <w:gridCol w:w="2440"/>
        <w:gridCol w:w="2440"/>
        <w:gridCol w:w="2435"/>
      </w:tblGrid>
      <w:tr w:rsidR="00266BF5" w:rsidRPr="00266BF5" w14:paraId="6009C3C3" w14:textId="77777777" w:rsidTr="00AC67DF">
        <w:trPr>
          <w:trHeight w:val="20"/>
          <w:tblHeader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F2F170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2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254D0E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DISPLACED </w:t>
            </w:r>
          </w:p>
        </w:tc>
      </w:tr>
      <w:tr w:rsidR="00266BF5" w:rsidRPr="00266BF5" w14:paraId="1F3F12A0" w14:textId="77777777" w:rsidTr="00AC67DF">
        <w:trPr>
          <w:trHeight w:val="20"/>
          <w:tblHeader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A7FA1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320D8F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OUTSIDE ECs </w:t>
            </w:r>
          </w:p>
        </w:tc>
      </w:tr>
      <w:tr w:rsidR="00266BF5" w:rsidRPr="00266BF5" w14:paraId="13DD7396" w14:textId="77777777" w:rsidTr="00AC67DF">
        <w:trPr>
          <w:trHeight w:val="20"/>
          <w:tblHeader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BA384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DBF73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69FCD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</w:tr>
      <w:tr w:rsidR="00266BF5" w:rsidRPr="00266BF5" w14:paraId="41109B76" w14:textId="77777777" w:rsidTr="00AC67DF">
        <w:trPr>
          <w:trHeight w:val="20"/>
          <w:tblHeader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1A7FB7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67B484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84F814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2E0616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AC4645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</w:tr>
      <w:tr w:rsidR="00266BF5" w:rsidRPr="00266BF5" w14:paraId="66ED0C0F" w14:textId="77777777" w:rsidTr="00AC67DF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E5C60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AD85E" w14:textId="0886F96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2,120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DB73FB" w14:textId="2FF23B1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D11E3" w14:textId="374FB2D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9,995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A42A06" w14:textId="476AA3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1C9EB337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47A2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F4125" w14:textId="0A7F224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7328DF" w14:textId="3F04996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F3B360" w14:textId="7573B1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140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3544D7" w14:textId="2823F7C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49F5643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E06E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C3937" w14:textId="20D1588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13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BD6A3" w14:textId="5EFBD09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5F505" w14:textId="694F23A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58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55976F" w14:textId="66BBB8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1F8B496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D397C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085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Rizal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BCBB" w14:textId="419D163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1957" w14:textId="214A69B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FC6A" w14:textId="0C57AB3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583C" w14:textId="3A3AA45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DDBA3C2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4C09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986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6889" w14:textId="5F74D90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FD53" w14:textId="299ACE1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43C6" w14:textId="57BA6D6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EF0D" w14:textId="370EF55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A44A5F5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621B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94ED1" w14:textId="4FAD47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28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164C5" w14:textId="49F6F8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39FEC" w14:textId="205C238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B1013" w14:textId="18BA77F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69C44C1F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F87E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E2A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Benito </w:t>
            </w: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789C" w14:textId="4553C69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E53F" w14:textId="518E2C4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6865" w14:textId="7A5FF48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C19B" w14:textId="509EDB4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452DBFF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21F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FA3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Ilagan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143C" w14:textId="5D7A7DD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24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E5C4" w14:textId="304C838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4ADF" w14:textId="5D7A189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71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2F78" w14:textId="561CF6D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1AFC5173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E917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AF552D" w14:textId="4899E1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37C1D" w14:textId="16B5F27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9D1311" w14:textId="3CB5A1C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300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F1454C" w14:textId="1FD927C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6F3127A7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D5E4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A697CB" w14:textId="414F234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A23F6" w14:textId="1C07484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24659" w14:textId="654CA92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300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17DB9" w14:textId="315CBD2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54D2AFE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1ED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EA9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279C" w14:textId="6D324E7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4358" w14:textId="248D501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5F3D" w14:textId="2C109F6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7096" w14:textId="0ABF8A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90A5D10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3FE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042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ABA6" w14:textId="2F4CDA2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43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DFBC" w14:textId="48A3123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26D0" w14:textId="2E196A5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A22C" w14:textId="2DE01A2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64D89F2E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0D1A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DF4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073F" w14:textId="416A49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35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EA08" w14:textId="2764957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0F31" w14:textId="209202F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C648" w14:textId="45296AB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27579556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F9E8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523DD9" w14:textId="43CF7B6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1,999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1B7145" w14:textId="0A6554D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D529D3" w14:textId="4DFC499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9,552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B2619E" w14:textId="6AFDBEA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4656B54B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BAC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2BA36" w14:textId="60C2A5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1,999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E99DC" w14:textId="34AD8E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16AA8" w14:textId="2AF89F7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9,552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591CA" w14:textId="19FD2D7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6CD7D2AF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5DFF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681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Buenavista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E2AC" w14:textId="4CFA4A3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42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8953" w14:textId="574748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866" w14:textId="077C04F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189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9A8C" w14:textId="5C6FB1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FBBCDDA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A7E1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C4D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General Luna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5F4D" w14:textId="6A07086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E0F7" w14:textId="3CDC841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5552" w14:textId="414647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12B7" w14:textId="29A0FEF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14291B9B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4CFBB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00D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0682" w14:textId="1DED0BA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9C78" w14:textId="0E2776C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6927" w14:textId="1D84AD4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410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FAE7" w14:textId="376FA23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2A46995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4B8D1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E38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3F7C" w14:textId="2A0A24B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486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58C8" w14:textId="6882133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B751" w14:textId="119E49C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2,194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5CEA" w14:textId="38DD59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3AEB50FE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343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3AC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4980" w14:textId="5EC23C9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1,350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7F8E" w14:textId="552055D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2C14" w14:textId="2E8F1E3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6,750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A54C" w14:textId="045310F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33DA915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8EE7D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609BC3" w14:textId="4464CE0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446978" w14:textId="0213703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8F1470" w14:textId="1978374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0FB91F" w14:textId="4CB0CA5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0EF4133C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C8E2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Benguet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5596F" w14:textId="655242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4E22D" w14:textId="6A5B4D5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58CB9" w14:textId="00E9D9A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46DC6" w14:textId="5EC557E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1FCDE24D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29128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6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Baguio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7E38" w14:textId="2B207D1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21B4" w14:textId="15A04D5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DDDD" w14:textId="6841B87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6191" w14:textId="07CA302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</w:tbl>
    <w:p w14:paraId="7E1391CA" w14:textId="4EF93F24" w:rsidR="00323ECA" w:rsidRDefault="00D72DD6" w:rsidP="00323EC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II, III, </w:t>
      </w:r>
      <w:r w:rsidR="00323ECA" w:rsidRPr="00EF58C6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0A5631AD" w14:textId="631B4803" w:rsidR="00B02EDE" w:rsidRDefault="00B02EDE" w:rsidP="00B02EDE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A67A53" w14:textId="77777777" w:rsidR="00390262" w:rsidRPr="00EF58C6" w:rsidRDefault="00390262" w:rsidP="00B02EDE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F430FD" w14:textId="77777777" w:rsidR="00B02EDE" w:rsidRDefault="00B02EDE" w:rsidP="00B02EDE">
      <w:pPr>
        <w:pStyle w:val="ListParagraph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hanging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8E7A447" w14:textId="3072E700" w:rsid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02EDE">
        <w:rPr>
          <w:rFonts w:ascii="Arial" w:eastAsia="Arial" w:hAnsi="Arial" w:cs="Arial"/>
          <w:sz w:val="24"/>
          <w:szCs w:val="24"/>
        </w:rPr>
        <w:t>There ar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="001D5A3E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9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damaged houses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; of which, </w:t>
      </w:r>
      <w:r w:rsidR="001D5A3E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4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totally damaged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001D5A3E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partially damaged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4).</w:t>
      </w:r>
    </w:p>
    <w:p w14:paraId="167D25B5" w14:textId="77777777" w:rsid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4B815046" w14:textId="2A017F4B" w:rsidR="00B02EDE" w:rsidRP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</w:rPr>
      </w:pPr>
      <w:r w:rsidRPr="00B02EDE">
        <w:rPr>
          <w:rFonts w:ascii="Arial" w:eastAsia="Arial" w:hAnsi="Arial" w:cs="Arial"/>
          <w:b/>
          <w:i/>
        </w:rPr>
        <w:t>Table 4. Number of Damaged 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9453"/>
        <w:gridCol w:w="1821"/>
        <w:gridCol w:w="1675"/>
        <w:gridCol w:w="1758"/>
      </w:tblGrid>
      <w:tr w:rsidR="00B02EDE" w:rsidRPr="00B02EDE" w14:paraId="35DC0D93" w14:textId="77777777" w:rsidTr="006741A0">
        <w:trPr>
          <w:trHeight w:val="291"/>
        </w:trPr>
        <w:tc>
          <w:tcPr>
            <w:tcW w:w="32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C2D38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3AEE7C" w14:textId="06AEC9CB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B02EDE" w:rsidRPr="00B02EDE" w14:paraId="048BC15C" w14:textId="77777777" w:rsidTr="006741A0">
        <w:trPr>
          <w:trHeight w:val="20"/>
        </w:trPr>
        <w:tc>
          <w:tcPr>
            <w:tcW w:w="32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9882A7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D16F26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A1B176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21DF99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B02EDE" w:rsidRPr="00B02EDE" w14:paraId="391D1C8E" w14:textId="77777777" w:rsidTr="006741A0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8A841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DBACA4" w14:textId="006B870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AE00D" w14:textId="3A5C05B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22FB5" w14:textId="0FD3EA72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B02EDE" w:rsidRPr="00B02EDE" w14:paraId="76E5E8CB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D3958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EDC2EE" w14:textId="27BD008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BF5C2" w14:textId="176E99C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EFF064" w14:textId="71A5C6F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02EDE" w:rsidRPr="00B02EDE" w14:paraId="1159D5CA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0A3FC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FFEA6" w14:textId="333A073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8E2C5" w14:textId="30C8584A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08FCF" w14:textId="15E22EEF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02EDE" w:rsidRPr="00B02EDE" w14:paraId="798032F1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54D7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02E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74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General Luna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CFF0" w14:textId="67A76C5F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DF4F" w14:textId="42C080E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D195" w14:textId="2082700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</w:tr>
      <w:tr w:rsidR="00B02EDE" w:rsidRPr="00B02EDE" w14:paraId="29490AA1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F446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02E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2EC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8312" w14:textId="7A4C472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507" w14:textId="70632879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4F11" w14:textId="39DB4E5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</w:tr>
      <w:tr w:rsidR="00B02EDE" w:rsidRPr="00B02EDE" w14:paraId="6AB3498F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998F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DDBA02" w14:textId="2DA53CC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5B1D3" w14:textId="280F0ABB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F3AFFD" w14:textId="52B6F26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B02EDE" w:rsidRPr="00B02EDE" w14:paraId="3790AF1D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9EC2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Benguet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69CDE" w14:textId="36D6FA79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3CC9BD" w14:textId="2027159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43061" w14:textId="0E48766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B02EDE" w:rsidRPr="00B02EDE" w14:paraId="16F39B10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B60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00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Baguio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99AA" w14:textId="4F56EA9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DCE9" w14:textId="7C65629A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9B6D" w14:textId="13174301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</w:tr>
    </w:tbl>
    <w:p w14:paraId="20ED7B62" w14:textId="3CA5BE67" w:rsidR="00390262" w:rsidRPr="00C86F05" w:rsidRDefault="00B02EDE" w:rsidP="00C86F05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 CALABARZON</w:t>
      </w:r>
      <w:r w:rsidR="0050510D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48F5B5D" w14:textId="77777777" w:rsidR="009F38EC" w:rsidRPr="00390262" w:rsidRDefault="009F38EC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4C4D7BE" w14:textId="220FC1CC" w:rsidR="00AF7C70" w:rsidRDefault="00B02EDE" w:rsidP="00AF7C7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</w:t>
      </w:r>
      <w:r w:rsidR="0099075C">
        <w:rPr>
          <w:rFonts w:ascii="Arial" w:eastAsia="Arial" w:hAnsi="Arial" w:cs="Arial"/>
          <w:b/>
          <w:color w:val="002060"/>
          <w:sz w:val="24"/>
          <w:szCs w:val="24"/>
        </w:rPr>
        <w:tab/>
        <w:t xml:space="preserve"> </w:t>
      </w:r>
      <w:r w:rsidR="008575C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  <w:r w:rsidR="00AF7C70" w:rsidRPr="00B93C2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771E1000" w14:textId="4DD77727" w:rsidR="003D4131" w:rsidRDefault="00AF7C70" w:rsidP="009F38EC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973697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9F38EC" w:rsidRPr="009F38E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3,560,923.00 </w:t>
      </w: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worth of assistance was provided to the families; of which, </w:t>
      </w:r>
      <w:r w:rsidRPr="00973697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6F6EBF" w:rsidRPr="006F6E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3,140,790.00 </w:t>
      </w: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was provided by </w:t>
      </w:r>
      <w:r w:rsidRPr="00973697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830A87"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and </w:t>
      </w:r>
      <w:r w:rsidRPr="00973697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3D4131" w:rsidRPr="0097369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420,133.00 </w:t>
      </w: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from </w:t>
      </w:r>
      <w:r w:rsidR="00830A87" w:rsidRPr="00973697">
        <w:rPr>
          <w:rFonts w:ascii="Arial" w:eastAsia="Arial" w:hAnsi="Arial" w:cs="Arial"/>
          <w:b/>
          <w:color w:val="000000" w:themeColor="text1"/>
          <w:sz w:val="24"/>
          <w:szCs w:val="24"/>
        </w:rPr>
        <w:t>LGUs</w:t>
      </w: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(see Table </w:t>
      </w:r>
      <w:r w:rsidR="009F38EC">
        <w:rPr>
          <w:rFonts w:ascii="Arial" w:eastAsia="Arial" w:hAnsi="Arial" w:cs="Arial"/>
          <w:bCs/>
          <w:color w:val="000000" w:themeColor="text1"/>
          <w:sz w:val="24"/>
          <w:szCs w:val="24"/>
        </w:rPr>
        <w:t>5</w:t>
      </w:r>
      <w:r w:rsidRPr="00973697">
        <w:rPr>
          <w:rFonts w:ascii="Arial" w:eastAsia="Arial" w:hAnsi="Arial" w:cs="Arial"/>
          <w:bCs/>
          <w:color w:val="000000" w:themeColor="text1"/>
          <w:sz w:val="24"/>
          <w:szCs w:val="24"/>
        </w:rPr>
        <w:t>).</w:t>
      </w:r>
    </w:p>
    <w:p w14:paraId="5E02E583" w14:textId="77777777" w:rsidR="00F3757F" w:rsidRPr="009F38EC" w:rsidRDefault="00F3757F" w:rsidP="009F38EC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2A69113" w14:textId="2AB0BB54" w:rsidR="006F6EBF" w:rsidRDefault="00AF7C70" w:rsidP="009F38EC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 xml:space="preserve">Table </w:t>
      </w:r>
      <w:r w:rsidR="00CB2F52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 Cost of Assistance Provided to Affected Families / 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65"/>
        <w:gridCol w:w="3232"/>
        <w:gridCol w:w="2156"/>
        <w:gridCol w:w="2159"/>
        <w:gridCol w:w="2159"/>
        <w:gridCol w:w="2159"/>
        <w:gridCol w:w="2171"/>
        <w:gridCol w:w="225"/>
      </w:tblGrid>
      <w:tr w:rsidR="006F6EBF" w:rsidRPr="006F6EBF" w14:paraId="23559BA8" w14:textId="77777777" w:rsidTr="009F38EC">
        <w:trPr>
          <w:gridAfter w:val="1"/>
          <w:wAfter w:w="77" w:type="pct"/>
          <w:trHeight w:val="373"/>
        </w:trPr>
        <w:tc>
          <w:tcPr>
            <w:tcW w:w="1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A95623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64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A5403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COST OF ASSISTANCE </w:t>
            </w:r>
          </w:p>
        </w:tc>
      </w:tr>
      <w:tr w:rsidR="006F6EBF" w:rsidRPr="006F6EBF" w14:paraId="7C7D7BA5" w14:textId="77777777" w:rsidTr="009F38EC">
        <w:trPr>
          <w:trHeight w:val="20"/>
        </w:trPr>
        <w:tc>
          <w:tcPr>
            <w:tcW w:w="1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414816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64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357B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015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6F6EBF" w:rsidRPr="006F6EBF" w14:paraId="4851099C" w14:textId="77777777" w:rsidTr="009F38EC">
        <w:trPr>
          <w:trHeight w:val="20"/>
        </w:trPr>
        <w:tc>
          <w:tcPr>
            <w:tcW w:w="1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FD56D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64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21B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E8C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01F118C5" w14:textId="77777777" w:rsidTr="009F38EC">
        <w:trPr>
          <w:trHeight w:val="20"/>
        </w:trPr>
        <w:tc>
          <w:tcPr>
            <w:tcW w:w="1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7EA7CF6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C8DAA9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795173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LGU 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366A43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978319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8D5277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GRAND TOTAL </w:t>
            </w:r>
          </w:p>
        </w:tc>
        <w:tc>
          <w:tcPr>
            <w:tcW w:w="77" w:type="pct"/>
            <w:vAlign w:val="center"/>
            <w:hideMark/>
          </w:tcPr>
          <w:p w14:paraId="23A166CA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64C2791A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7162E2" w14:textId="77777777" w:rsidR="006F6EBF" w:rsidRPr="006F6EBF" w:rsidRDefault="006F6EBF" w:rsidP="006F6E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B3AB7" w14:textId="01DFBD0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3,140,790.00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38444F" w14:textId="66E52A6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420,133.00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A195FE" w14:textId="79A5868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03FE86" w14:textId="12C3784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483EEF" w14:textId="5917F93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3,560,923.00 </w:t>
            </w:r>
          </w:p>
        </w:tc>
        <w:tc>
          <w:tcPr>
            <w:tcW w:w="77" w:type="pct"/>
            <w:vAlign w:val="center"/>
            <w:hideMark/>
          </w:tcPr>
          <w:p w14:paraId="59A33203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4DFA27FB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CB663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lastRenderedPageBreak/>
              <w:t>REGION 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DDA292" w14:textId="3C4CE30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50,290.00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29421" w14:textId="26AF12F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E98EB5" w14:textId="2276CCA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146BA0" w14:textId="0958EE1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71C9F7" w14:textId="7A01554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50,290.00 </w:t>
            </w:r>
          </w:p>
        </w:tc>
        <w:tc>
          <w:tcPr>
            <w:tcW w:w="77" w:type="pct"/>
            <w:vAlign w:val="center"/>
            <w:hideMark/>
          </w:tcPr>
          <w:p w14:paraId="365DF7DA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7606A48D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CB475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Batanes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3B209" w14:textId="471ACF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5,640.00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D1F2AF" w14:textId="5C1A39A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827AD" w14:textId="1C37FEA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6D450" w14:textId="44D1EE0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BF14F" w14:textId="5272E73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5,640.00 </w:t>
            </w:r>
          </w:p>
        </w:tc>
        <w:tc>
          <w:tcPr>
            <w:tcW w:w="77" w:type="pct"/>
            <w:vAlign w:val="center"/>
            <w:hideMark/>
          </w:tcPr>
          <w:p w14:paraId="41A51AEC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2A39596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A6BC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81B1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PLGU Batanes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45D5" w14:textId="27B1A0A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5,640.00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D0D3" w14:textId="3DCA059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FD54" w14:textId="3EF5CE0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4EB8" w14:textId="71FA0B6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9C19" w14:textId="7BB6569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5,640.00 </w:t>
            </w:r>
          </w:p>
        </w:tc>
        <w:tc>
          <w:tcPr>
            <w:tcW w:w="77" w:type="pct"/>
            <w:vAlign w:val="center"/>
            <w:hideMark/>
          </w:tcPr>
          <w:p w14:paraId="723627D9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C78131D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E68BD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52547" w14:textId="02889C9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44,650.00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A3F022" w14:textId="050D4B0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00BF1" w14:textId="3BCAC78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6C9E2" w14:textId="5209C53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BB8D3" w14:textId="0496650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44,650.00 </w:t>
            </w:r>
          </w:p>
        </w:tc>
        <w:tc>
          <w:tcPr>
            <w:tcW w:w="77" w:type="pct"/>
            <w:vAlign w:val="center"/>
            <w:hideMark/>
          </w:tcPr>
          <w:p w14:paraId="2CFE2256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409BBCE2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F92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4128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Calayan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7C43" w14:textId="16763EE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44,650.00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0349" w14:textId="37713B1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E568" w14:textId="6862A92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911C" w14:textId="7502E3D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C034" w14:textId="24E23F8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44,650.00 </w:t>
            </w:r>
          </w:p>
        </w:tc>
        <w:tc>
          <w:tcPr>
            <w:tcW w:w="77" w:type="pct"/>
            <w:vAlign w:val="center"/>
            <w:hideMark/>
          </w:tcPr>
          <w:p w14:paraId="3F1C6D59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A8A3241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AA03D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63265A" w14:textId="3995CD0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C32836" w14:textId="0FDC0B4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419,661.00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EA471B" w14:textId="11F086D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B6A616" w14:textId="3CE4643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0E5436" w14:textId="0A13C5D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419,661.00 </w:t>
            </w:r>
          </w:p>
        </w:tc>
        <w:tc>
          <w:tcPr>
            <w:tcW w:w="77" w:type="pct"/>
            <w:vAlign w:val="center"/>
            <w:hideMark/>
          </w:tcPr>
          <w:p w14:paraId="45C17AA0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7657439B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6B132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88CE1" w14:textId="3D21581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152AE" w14:textId="0B78AD9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5,488.00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DA6DE" w14:textId="4B23654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75B55" w14:textId="06F4557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C786B2" w14:textId="4830394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5,488.00 </w:t>
            </w:r>
          </w:p>
        </w:tc>
        <w:tc>
          <w:tcPr>
            <w:tcW w:w="77" w:type="pct"/>
            <w:vAlign w:val="center"/>
            <w:hideMark/>
          </w:tcPr>
          <w:p w14:paraId="19874B0F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3D054771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98441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574E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0CD4" w14:textId="453B6C9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CB0D" w14:textId="375F7FF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87BD" w14:textId="68F7424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4B94" w14:textId="7B573DD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884" w14:textId="2AC318C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500.00 </w:t>
            </w:r>
          </w:p>
        </w:tc>
        <w:tc>
          <w:tcPr>
            <w:tcW w:w="77" w:type="pct"/>
            <w:vAlign w:val="center"/>
            <w:hideMark/>
          </w:tcPr>
          <w:p w14:paraId="67337B12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54669386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2951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616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9D24" w14:textId="69C72EE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424C" w14:textId="5E02E37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3,882.00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3DBE" w14:textId="3F46ECB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7DA8" w14:textId="58A7C88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9BDA" w14:textId="2D8CFFC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3,882.00 </w:t>
            </w:r>
          </w:p>
        </w:tc>
        <w:tc>
          <w:tcPr>
            <w:tcW w:w="77" w:type="pct"/>
            <w:vAlign w:val="center"/>
            <w:hideMark/>
          </w:tcPr>
          <w:p w14:paraId="5CDAE3EB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748682FA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5DC2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D2C4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6346" w14:textId="0115A68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4580" w14:textId="55B0282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2DDE" w14:textId="764C17E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8CD8" w14:textId="057E0D9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0339" w14:textId="0E79B07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160.00 </w:t>
            </w:r>
          </w:p>
        </w:tc>
        <w:tc>
          <w:tcPr>
            <w:tcW w:w="77" w:type="pct"/>
            <w:vAlign w:val="center"/>
            <w:hideMark/>
          </w:tcPr>
          <w:p w14:paraId="490589DB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7EB5A01E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BAAA7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AFF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San Luis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8F9F" w14:textId="0C3E5EE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9343" w14:textId="06A93E7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946.00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5CA2" w14:textId="2BE113F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B740" w14:textId="1728CAC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EA97" w14:textId="15FFBF1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946.00 </w:t>
            </w:r>
          </w:p>
        </w:tc>
        <w:tc>
          <w:tcPr>
            <w:tcW w:w="77" w:type="pct"/>
            <w:vAlign w:val="center"/>
            <w:hideMark/>
          </w:tcPr>
          <w:p w14:paraId="230E829E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07798FC2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C8BF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Bulacan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37B18" w14:textId="4401B65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6302B" w14:textId="0D8B171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183,600.00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2C38D" w14:textId="40D7E02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4E192" w14:textId="08C8A7D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E86B8" w14:textId="3CA7918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183,600.00 </w:t>
            </w:r>
          </w:p>
        </w:tc>
        <w:tc>
          <w:tcPr>
            <w:tcW w:w="77" w:type="pct"/>
            <w:vAlign w:val="center"/>
            <w:hideMark/>
          </w:tcPr>
          <w:p w14:paraId="2682EAE1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213CA9B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CCD08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97A6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Miguel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C326" w14:textId="5941207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6EC8" w14:textId="7963B37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183,600.00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D0AB" w14:textId="6982D33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D3B7" w14:textId="73E0555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D1AD" w14:textId="296779E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183,600.00 </w:t>
            </w:r>
          </w:p>
        </w:tc>
        <w:tc>
          <w:tcPr>
            <w:tcW w:w="77" w:type="pct"/>
            <w:vAlign w:val="center"/>
            <w:hideMark/>
          </w:tcPr>
          <w:p w14:paraId="1C98842F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CA91BE8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05361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Ecija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B9D7B" w14:textId="06AD171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57197" w14:textId="702F617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230,573.00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39BFF" w14:textId="53788E5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4864A" w14:textId="576A273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09A13" w14:textId="1FA3642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230,573.00 </w:t>
            </w:r>
          </w:p>
        </w:tc>
        <w:tc>
          <w:tcPr>
            <w:tcW w:w="77" w:type="pct"/>
            <w:vAlign w:val="center"/>
            <w:hideMark/>
          </w:tcPr>
          <w:p w14:paraId="4113B8E6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01EE5D73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070A4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29D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Cabanatuan City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8E26" w14:textId="790F963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2E9B" w14:textId="18D73AB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212,573.00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D23E" w14:textId="1FEB4C5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5782" w14:textId="49FC24A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FEE6" w14:textId="0ECF9D1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212,573.00 </w:t>
            </w:r>
          </w:p>
        </w:tc>
        <w:tc>
          <w:tcPr>
            <w:tcW w:w="77" w:type="pct"/>
            <w:vAlign w:val="center"/>
            <w:hideMark/>
          </w:tcPr>
          <w:p w14:paraId="058CB452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69E18674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3A5F9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06D8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Talavera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5E97" w14:textId="6D9EE1D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A3B0" w14:textId="20EE260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9929" w14:textId="0353AF1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AE69" w14:textId="1622A0C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B6EE" w14:textId="056B742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18,000.00 </w:t>
            </w:r>
          </w:p>
        </w:tc>
        <w:tc>
          <w:tcPr>
            <w:tcW w:w="77" w:type="pct"/>
            <w:vAlign w:val="center"/>
            <w:hideMark/>
          </w:tcPr>
          <w:p w14:paraId="28589890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4347679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00E8C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AD4BF" w14:textId="2604DF4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3,090,500.00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706C98" w14:textId="33B66C90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02C873" w14:textId="69B17F6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D0DDAF" w14:textId="62429DA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D570B8" w14:textId="2ECE4CB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3,090,500.00 </w:t>
            </w:r>
          </w:p>
        </w:tc>
        <w:tc>
          <w:tcPr>
            <w:tcW w:w="77" w:type="pct"/>
            <w:vAlign w:val="center"/>
            <w:hideMark/>
          </w:tcPr>
          <w:p w14:paraId="77521D21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3F2A08FA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1C0A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7643C" w14:textId="41F9D6B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3,090,500.00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D2EC9" w14:textId="25F98CA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C89875" w14:textId="52698C1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D8643" w14:textId="556E365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64964D" w14:textId="5B6C013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3,090,500.00 </w:t>
            </w:r>
          </w:p>
        </w:tc>
        <w:tc>
          <w:tcPr>
            <w:tcW w:w="77" w:type="pct"/>
            <w:vAlign w:val="center"/>
            <w:hideMark/>
          </w:tcPr>
          <w:p w14:paraId="7CE6D944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0E50B674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41A7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6D8D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Buenavista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7172" w14:textId="336F06F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F73C" w14:textId="19FE0E0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83F3" w14:textId="38B7C93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E23D" w14:textId="7E8AFC2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349" w14:textId="60A8CB0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94,000.00 </w:t>
            </w:r>
          </w:p>
        </w:tc>
        <w:tc>
          <w:tcPr>
            <w:tcW w:w="77" w:type="pct"/>
            <w:vAlign w:val="center"/>
            <w:hideMark/>
          </w:tcPr>
          <w:p w14:paraId="28FD090B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6F16A457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4303F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ABE5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1CDA" w14:textId="7BD1E56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346,000.00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948F" w14:textId="2F6C708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2916" w14:textId="203BD50E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1A91" w14:textId="7B3D87F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03E4" w14:textId="3A1D85E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346,000.00 </w:t>
            </w:r>
          </w:p>
        </w:tc>
        <w:tc>
          <w:tcPr>
            <w:tcW w:w="77" w:type="pct"/>
            <w:vAlign w:val="center"/>
            <w:hideMark/>
          </w:tcPr>
          <w:p w14:paraId="545C2C27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11047F66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B8515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4AA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A75B" w14:textId="143B374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903,000.00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0F9E" w14:textId="69FFCEE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1E21" w14:textId="307A891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AA08" w14:textId="55342D0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F123" w14:textId="0100E36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903,000.00 </w:t>
            </w:r>
          </w:p>
        </w:tc>
        <w:tc>
          <w:tcPr>
            <w:tcW w:w="77" w:type="pct"/>
            <w:vAlign w:val="center"/>
            <w:hideMark/>
          </w:tcPr>
          <w:p w14:paraId="3BA3ABD9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5783A8E4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81E2E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B869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44A0" w14:textId="4C6FEC78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173,000.00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759C" w14:textId="615B591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A017" w14:textId="7FE81A0F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5198" w14:textId="5EDFE066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F19C0" w14:textId="5CA132C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173,000.00 </w:t>
            </w:r>
          </w:p>
        </w:tc>
        <w:tc>
          <w:tcPr>
            <w:tcW w:w="77" w:type="pct"/>
            <w:vAlign w:val="center"/>
            <w:hideMark/>
          </w:tcPr>
          <w:p w14:paraId="210BA9F4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6C7E2368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315F5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3DC2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08BB" w14:textId="112202D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940,000.00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ABD2" w14:textId="3F054AC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98D8" w14:textId="360FDA4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4C32" w14:textId="36D09C9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D6B5" w14:textId="21E28A1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940,000.00 </w:t>
            </w:r>
          </w:p>
        </w:tc>
        <w:tc>
          <w:tcPr>
            <w:tcW w:w="77" w:type="pct"/>
            <w:vAlign w:val="center"/>
            <w:hideMark/>
          </w:tcPr>
          <w:p w14:paraId="31F3AE9A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4CB574C5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14857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F95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4562" w14:textId="31DC307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634,500.00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99D7" w14:textId="235D91B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B3C1" w14:textId="368CF1B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EDA0" w14:textId="3964A90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C5EE" w14:textId="0135B92A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634,500.00 </w:t>
            </w:r>
          </w:p>
        </w:tc>
        <w:tc>
          <w:tcPr>
            <w:tcW w:w="77" w:type="pct"/>
            <w:vAlign w:val="center"/>
            <w:hideMark/>
          </w:tcPr>
          <w:p w14:paraId="3D42F4C8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2AF98CB0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4D9AC8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7D61B" w14:textId="44A9F20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1D8F6A" w14:textId="6194B58B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13CBE6" w14:textId="06C05CA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81E9BA" w14:textId="1ACEAAC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F08718" w14:textId="4A0D1C55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7" w:type="pct"/>
            <w:vAlign w:val="center"/>
            <w:hideMark/>
          </w:tcPr>
          <w:p w14:paraId="7C7B8DBD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07F06C0A" w14:textId="77777777" w:rsidTr="009F38EC">
        <w:trPr>
          <w:trHeight w:val="20"/>
        </w:trPr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70DAF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>Benguet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4D2EF" w14:textId="443B7532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CE4EE" w14:textId="2ECE3019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F74A97" w14:textId="4BB6D7A1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54B50" w14:textId="31822D04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70857" w14:textId="3444617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7" w:type="pct"/>
            <w:vAlign w:val="center"/>
            <w:hideMark/>
          </w:tcPr>
          <w:p w14:paraId="65E7C7FF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EBF" w:rsidRPr="006F6EBF" w14:paraId="6D48F44F" w14:textId="77777777" w:rsidTr="009F38EC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6C6A" w14:textId="77777777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DB80" w14:textId="77777777" w:rsidR="006F6EBF" w:rsidRPr="006F6EBF" w:rsidRDefault="006F6EBF" w:rsidP="006F6EB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>Baguio City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91CB" w14:textId="55FCFDB3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FFD9" w14:textId="7096CA4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472.00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FF46" w14:textId="7865B70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F94C" w14:textId="578DE56C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9C6B" w14:textId="4FF8C4DD" w:rsidR="006F6EBF" w:rsidRPr="006F6EBF" w:rsidRDefault="006F6EBF" w:rsidP="006F6E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6F6EB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472.00 </w:t>
            </w:r>
          </w:p>
        </w:tc>
        <w:tc>
          <w:tcPr>
            <w:tcW w:w="77" w:type="pct"/>
            <w:vAlign w:val="center"/>
            <w:hideMark/>
          </w:tcPr>
          <w:p w14:paraId="54FF9D78" w14:textId="77777777" w:rsidR="006F6EBF" w:rsidRPr="006F6EBF" w:rsidRDefault="006F6EBF" w:rsidP="006F6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3CCBC9" w14:textId="302BC455" w:rsidR="00830A87" w:rsidRDefault="00390262" w:rsidP="004E3562">
      <w:pPr>
        <w:pStyle w:val="ListParagraph"/>
        <w:spacing w:after="0" w:line="240" w:lineRule="auto"/>
        <w:ind w:left="10866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</w:t>
      </w:r>
      <w:r w:rsidR="00E74580">
        <w:rPr>
          <w:rFonts w:ascii="Arial" w:eastAsia="Arial" w:hAnsi="Arial" w:cs="Arial"/>
          <w:i/>
          <w:color w:val="0070C0"/>
          <w:sz w:val="16"/>
          <w:szCs w:val="24"/>
        </w:rPr>
        <w:t xml:space="preserve"> II, III,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 w:rsidR="00E74580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1A17C061" w14:textId="77777777" w:rsidR="00F3757F" w:rsidRDefault="00F3757F" w:rsidP="004E3562">
      <w:pPr>
        <w:pStyle w:val="ListParagraph"/>
        <w:spacing w:after="0" w:line="240" w:lineRule="auto"/>
        <w:ind w:left="10866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AADC6EF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EFE21AE" w:rsidR="001149A2" w:rsidRDefault="001149A2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DB4F03" w:rsidRPr="001E33B7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902F26" w:rsidRPr="001E33B7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6AC2B6BA" w:rsidR="00902F26" w:rsidRPr="00376F8E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>24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C6AD" w14:textId="6561093D" w:rsidR="00902F26" w:rsidRPr="00376F8E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>DSWD-FO CAR submitted</w:t>
            </w:r>
            <w:r w:rsidR="00266BF5" w:rsidRPr="00376F8E">
              <w:rPr>
                <w:rFonts w:ascii="Arial" w:eastAsia="Arial" w:hAnsi="Arial" w:cs="Arial"/>
                <w:szCs w:val="24"/>
              </w:rPr>
              <w:t xml:space="preserve"> their</w:t>
            </w:r>
            <w:r w:rsidRPr="00376F8E">
              <w:rPr>
                <w:rFonts w:ascii="Arial" w:eastAsia="Arial" w:hAnsi="Arial" w:cs="Arial"/>
                <w:szCs w:val="24"/>
              </w:rPr>
              <w:t xml:space="preserve"> Terminal Report. </w:t>
            </w:r>
          </w:p>
        </w:tc>
      </w:tr>
      <w:tr w:rsidR="00902F26" w:rsidRPr="001E33B7" w14:paraId="498EF9E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260875F4" w:rsidR="00902F26" w:rsidRPr="00902F26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E36C8" w14:textId="044256E9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CAR is on standby-alert to render duty at the Operation Center and in closely monitoring the status on the ground as well as the alert status and weather updates</w:t>
            </w:r>
          </w:p>
          <w:p w14:paraId="15CFB583" w14:textId="77777777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lastRenderedPageBreak/>
              <w:t>The Provincial Social Welfare and Development Teams (PSWADT) DRMD PDO IIs were informed of the situation.</w:t>
            </w:r>
          </w:p>
          <w:p w14:paraId="469EE3CE" w14:textId="77777777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DSWD-FO CAR is on </w:t>
            </w:r>
            <w:r w:rsidRPr="00902F26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RED ALERT</w:t>
            </w: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status</w:t>
            </w:r>
          </w:p>
          <w:p w14:paraId="04B196A0" w14:textId="77777777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Pre-disaster Risk Assessment Meeting via video teleconferencing attended by Ms. Mary Ann G. </w:t>
            </w:r>
            <w:proofErr w:type="spellStart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Buclao</w:t>
            </w:r>
            <w:proofErr w:type="spellEnd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.</w:t>
            </w:r>
          </w:p>
          <w:p w14:paraId="5FC95356" w14:textId="13DF9DB3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C12A11" w14:textId="6B829E2A" w:rsidR="003502CC" w:rsidRDefault="003502CC" w:rsidP="003502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3502CC" w:rsidRPr="001E33B7" w14:paraId="370730A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7A371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C61B03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3502CC" w:rsidRPr="001E33B7" w14:paraId="78B2986E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D8662" w14:textId="124268BC" w:rsidR="003502CC" w:rsidRPr="004B2C6D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26CE" w14:textId="275FC29E" w:rsidR="003502CC" w:rsidRPr="004B2C6D" w:rsidRDefault="003502CC" w:rsidP="003502CC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88" w:hanging="284"/>
              <w:rPr>
                <w:rFonts w:ascii="Arial" w:eastAsia="Arial" w:hAnsi="Arial" w:cs="Arial"/>
                <w:b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 xml:space="preserve">DSWD-FO NCR submitted their </w:t>
            </w:r>
            <w:r w:rsidRPr="004B2C6D">
              <w:rPr>
                <w:rFonts w:ascii="Arial" w:eastAsia="Arial" w:hAnsi="Arial" w:cs="Arial"/>
                <w:b/>
                <w:szCs w:val="24"/>
              </w:rPr>
              <w:t>terminal report</w:t>
            </w:r>
          </w:p>
        </w:tc>
      </w:tr>
      <w:tr w:rsidR="003502CC" w:rsidRPr="001E33B7" w14:paraId="5C1A05A1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38750" w14:textId="67DD4A66" w:rsidR="003502CC" w:rsidRPr="004B2C6D" w:rsidRDefault="003502CC" w:rsidP="003502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20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9B348" w14:textId="77777777" w:rsidR="003502CC" w:rsidRPr="004B2C6D" w:rsidRDefault="003502CC" w:rsidP="003502C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NCR Quick Response Teams of composed of organic staff from the Field Office and Centers and Residential Care Facilities (C/RCFs) are activated and on standby in response to any eventualities. The assignment of said staff is scheduled per day.</w:t>
            </w:r>
          </w:p>
          <w:p w14:paraId="2A500D46" w14:textId="6DCE0375" w:rsidR="003502CC" w:rsidRPr="004B2C6D" w:rsidRDefault="003502CC" w:rsidP="003502C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NCR is continuously monitoring weather conditions and other emergencies through telephone, internet, cell phone, etc. by the Disaster Response Management Division Staff and Quick Response Team Leaders.</w:t>
            </w:r>
          </w:p>
        </w:tc>
      </w:tr>
    </w:tbl>
    <w:p w14:paraId="5568C0CE" w14:textId="77777777" w:rsidR="004B2C6D" w:rsidRDefault="004B2C6D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7B9136" w14:textId="7A040E18" w:rsidR="00B22722" w:rsidRDefault="00B22722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2DB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B22722" w:rsidRPr="001E33B7" w14:paraId="71358FD0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E8893" w14:textId="77777777" w:rsidR="00B22722" w:rsidRPr="001E33B7" w:rsidRDefault="00B22722" w:rsidP="006E5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A65F0" w14:textId="77777777" w:rsidR="00B22722" w:rsidRPr="001E33B7" w:rsidRDefault="00B22722" w:rsidP="006E5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902F26" w:rsidRPr="001E33B7" w14:paraId="669F82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1231D" w14:textId="4D531F52" w:rsidR="00902F26" w:rsidRPr="00376F8E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>24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D90E3" w14:textId="60D18466" w:rsidR="00902F26" w:rsidRPr="00376F8E" w:rsidRDefault="00902F26" w:rsidP="00902F2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>DSWD-FO I submitted</w:t>
            </w:r>
            <w:r w:rsidR="00266BF5" w:rsidRPr="00376F8E">
              <w:rPr>
                <w:rFonts w:ascii="Arial" w:eastAsia="Arial" w:hAnsi="Arial" w:cs="Arial"/>
                <w:szCs w:val="24"/>
              </w:rPr>
              <w:t xml:space="preserve"> their</w:t>
            </w:r>
            <w:r w:rsidRPr="00376F8E">
              <w:rPr>
                <w:rFonts w:ascii="Arial" w:eastAsia="Arial" w:hAnsi="Arial" w:cs="Arial"/>
                <w:szCs w:val="24"/>
              </w:rPr>
              <w:t xml:space="preserve"> Terminal Report</w:t>
            </w:r>
          </w:p>
          <w:p w14:paraId="23DCBF31" w14:textId="7F507282" w:rsidR="00902F26" w:rsidRPr="00376F8E" w:rsidRDefault="00902F26" w:rsidP="00902F2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>DSWD Field Office 1 through the Incident Management Team closely monitored the effects of the weather disturbance in coordination with Provincial/City/Municipal Disaster Risk Reduction and Management Councils (P/C/MDRRMCs) and Provincial/City/Municipal Social Welfare and Development Offices (P/C/MSWDOs) for the Final Report.</w:t>
            </w:r>
          </w:p>
        </w:tc>
      </w:tr>
      <w:tr w:rsidR="00902F26" w:rsidRPr="001E33B7" w14:paraId="7FB34DE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B007F" w14:textId="429144ED" w:rsidR="00902F26" w:rsidRPr="00902F26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46A1A1" w14:textId="4F70037A" w:rsidR="00902F26" w:rsidRPr="00902F26" w:rsidRDefault="00902F26" w:rsidP="00902F26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I is still monitoring the possible effects of Typhoon “PEPITO” through the Department of Science and Technology – Philippine Atmospheric, Geophysical and Astronomical Services Administration (DOST – PAGASA) and close coordination with the RDRRMC1. Likewise, Provincial Operations Offices (POOs) are in close coordination with the different Provincial/City/Municipal Disaster Risk Reduction and Management Councils (P/C/MDRRMCs) and Provincial/City/Municipal Social Welfare and Development Offices (P/C/MSWDOs) to monitor the adverse effects that might be brought by the weather disturbance and submission of reports for significant updates.</w:t>
            </w:r>
          </w:p>
        </w:tc>
      </w:tr>
    </w:tbl>
    <w:p w14:paraId="44FEB6D2" w14:textId="14E7BE0D" w:rsidR="00B22722" w:rsidRDefault="00B2272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9EE640A" w14:textId="5F222EF9" w:rsidR="001A2DB6" w:rsidRDefault="001A2DB6" w:rsidP="001A2D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1A2DB6" w:rsidRPr="001E33B7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1E33B7" w:rsidRDefault="001A2DB6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77777777" w:rsidR="001A2DB6" w:rsidRPr="001E33B7" w:rsidRDefault="001A2DB6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266BF5" w:rsidRPr="001E33B7" w14:paraId="6E434F92" w14:textId="77777777" w:rsidTr="00D8611C">
        <w:trPr>
          <w:trHeight w:val="9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3DA8534" w:rsidR="00266BF5" w:rsidRPr="00D8611C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>24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D87A3B" w14:textId="79D1CE54" w:rsidR="00266BF5" w:rsidRPr="00D8611C" w:rsidRDefault="00266BF5" w:rsidP="00266BF5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>DSWD-FO II submitted their Terminal Report</w:t>
            </w:r>
          </w:p>
          <w:p w14:paraId="668743DC" w14:textId="0ACC4E38" w:rsidR="00266BF5" w:rsidRPr="00D8611C" w:rsidRDefault="00DA43D9" w:rsidP="00266BF5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>DSWD FO II a</w:t>
            </w:r>
            <w:r w:rsidR="00266BF5" w:rsidRPr="00D8611C">
              <w:rPr>
                <w:rFonts w:ascii="Arial" w:eastAsia="Arial" w:hAnsi="Arial" w:cs="Arial"/>
                <w:color w:val="000000" w:themeColor="text1"/>
                <w:szCs w:val="24"/>
              </w:rPr>
              <w:t>ttended the actual turnover of hygiene kits and goods for Bahay Pag-</w:t>
            </w:r>
            <w:proofErr w:type="spellStart"/>
            <w:r w:rsidR="00266BF5" w:rsidRPr="00D8611C">
              <w:rPr>
                <w:rFonts w:ascii="Arial" w:eastAsia="Arial" w:hAnsi="Arial" w:cs="Arial"/>
                <w:color w:val="000000" w:themeColor="text1"/>
                <w:szCs w:val="24"/>
              </w:rPr>
              <w:t>asa</w:t>
            </w:r>
            <w:proofErr w:type="spellEnd"/>
            <w:r w:rsidR="00266BF5" w:rsidRPr="00D8611C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at </w:t>
            </w:r>
            <w:proofErr w:type="spellStart"/>
            <w:r w:rsidR="00266BF5" w:rsidRPr="00D8611C">
              <w:rPr>
                <w:rFonts w:ascii="Arial" w:eastAsia="Arial" w:hAnsi="Arial" w:cs="Arial"/>
                <w:color w:val="000000" w:themeColor="text1"/>
                <w:szCs w:val="24"/>
              </w:rPr>
              <w:t>Cauayan</w:t>
            </w:r>
            <w:proofErr w:type="spellEnd"/>
            <w:r w:rsidR="00266BF5" w:rsidRPr="00D8611C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City, Isabela.</w:t>
            </w:r>
          </w:p>
        </w:tc>
      </w:tr>
      <w:tr w:rsidR="00266BF5" w:rsidRPr="001E33B7" w14:paraId="59F6E4B9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068F8" w14:textId="26389D29" w:rsidR="00266BF5" w:rsidRPr="00902F26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EABE7" w14:textId="77777777" w:rsidR="00266BF5" w:rsidRPr="00902F2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II provided 24 family food packs to the stranded individuals from Batanes who are currently staying in City of Tuguegarao for medical check up</w:t>
            </w:r>
          </w:p>
          <w:p w14:paraId="230A3744" w14:textId="4CC79D2F" w:rsidR="00266BF5" w:rsidRPr="00902F2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lastRenderedPageBreak/>
              <w:t>DSWD-FO II is</w:t>
            </w:r>
            <w:r w:rsidRPr="00902F26">
              <w:rPr>
                <w:color w:val="000000" w:themeColor="text1"/>
              </w:rPr>
              <w:t xml:space="preserve"> </w:t>
            </w: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continuously monitoring on the </w:t>
            </w:r>
            <w:proofErr w:type="gramStart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low lying</w:t>
            </w:r>
            <w:proofErr w:type="gramEnd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areas which are possible affected by the flashfloods due to </w:t>
            </w:r>
            <w:proofErr w:type="spellStart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Magat</w:t>
            </w:r>
            <w:proofErr w:type="spellEnd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discharge dam water though the SWADTs, P/C/MATs in coordination with the LGUs.</w:t>
            </w:r>
          </w:p>
        </w:tc>
      </w:tr>
      <w:tr w:rsidR="00266BF5" w:rsidRPr="001E33B7" w14:paraId="536DF58C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F8F4C4" w14:textId="667D237F" w:rsidR="00266BF5" w:rsidRPr="003337EF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szCs w:val="24"/>
              </w:rPr>
              <w:t>1</w:t>
            </w:r>
            <w:r w:rsidRPr="003337EF">
              <w:rPr>
                <w:rFonts w:ascii="Arial" w:eastAsia="Arial" w:hAnsi="Arial" w:cs="Arial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3825A" w14:textId="77777777" w:rsidR="00266BF5" w:rsidRPr="003337EF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National Irrigation Administration-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River Integrated Irrigation System ordered the Dam discharge to maintain the safe water level of the dam. Public living near the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River were advised to take precautionary measures.</w:t>
            </w:r>
          </w:p>
          <w:p w14:paraId="36D2E37D" w14:textId="1F8C975B" w:rsidR="00266BF5" w:rsidRPr="003337EF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The City Government of Tuguegarao assisted 4 families with 13 individuals in doing pre-emptive evacuation due to flooding; 3 families composed of 9 individuals were sent to Centro 1 Barangay Hall and 1 family with 4 individuals chose to stay in their relative’s house.</w:t>
            </w:r>
          </w:p>
        </w:tc>
      </w:tr>
      <w:tr w:rsidR="00266BF5" w:rsidRPr="001E33B7" w14:paraId="521392D8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491BE" w14:textId="787A080B" w:rsidR="00266BF5" w:rsidRPr="00AB7E86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20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396F6" w14:textId="77777777" w:rsidR="00266BF5" w:rsidRPr="00AB7E8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DSWD-FO II-DRMD through the Regional Resource Operation Section ensures availability of Food and Non-Food Items at any given time.</w:t>
            </w:r>
          </w:p>
          <w:p w14:paraId="4513689B" w14:textId="77777777" w:rsidR="00266BF5" w:rsidRPr="00AB7E8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DSWD-FO II Disaster Response Information Management Section (DRIMS) is continuously monitoring the status of the said weather disturbance thru the PAGASA weather bulletin/advisory.</w:t>
            </w:r>
          </w:p>
          <w:p w14:paraId="3577DAD9" w14:textId="14A0EB49" w:rsidR="00266BF5" w:rsidRPr="00AB7E8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The Regional Disaster Management Response Team is already activated on a 24-hour duty. The team started to monitor the status of affected families though the SWADTs, P/C/MATs coordination with LGUs.</w:t>
            </w:r>
          </w:p>
        </w:tc>
      </w:tr>
    </w:tbl>
    <w:p w14:paraId="1972A35C" w14:textId="06A091B1" w:rsidR="001A2DB6" w:rsidRDefault="001A2DB6" w:rsidP="001A2DB6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46649446" w14:textId="271CCDAF" w:rsidR="00D91F25" w:rsidRDefault="00D91F25" w:rsidP="00D91F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D91F25" w:rsidRPr="001E33B7" w14:paraId="2A4BA843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90CBC" w14:textId="77777777" w:rsidR="00D91F25" w:rsidRPr="001E33B7" w:rsidRDefault="00D91F25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A50D4" w14:textId="77777777" w:rsidR="00D91F25" w:rsidRPr="001E33B7" w:rsidRDefault="00D91F25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376F8E" w:rsidRPr="001E33B7" w14:paraId="05D839D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981EA" w14:textId="7CC90A3F" w:rsidR="00376F8E" w:rsidRPr="00D8611C" w:rsidRDefault="00376F8E" w:rsidP="00376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>26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838E7" w14:textId="77777777" w:rsidR="00376F8E" w:rsidRPr="00D8611C" w:rsidRDefault="00376F8E" w:rsidP="00376F8E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DSWD-FO III submitted their Terminal Report. </w:t>
            </w:r>
          </w:p>
          <w:p w14:paraId="1179B9C3" w14:textId="54F04251" w:rsidR="00376F8E" w:rsidRPr="00D8611C" w:rsidRDefault="00376F8E" w:rsidP="00376F8E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Activation of Rapid Deployment Team of Disaster Response Management Division of DSWD and DSWD Provincial Extension Office Quick Response Team. .</w:t>
            </w:r>
          </w:p>
        </w:tc>
      </w:tr>
      <w:tr w:rsidR="00376F8E" w:rsidRPr="001E33B7" w14:paraId="7CDF6081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2AA66" w14:textId="4685781E" w:rsidR="00376F8E" w:rsidRPr="00376F8E" w:rsidRDefault="00376F8E" w:rsidP="00376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>24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88113" w14:textId="6B6B2E9A" w:rsidR="00376F8E" w:rsidRPr="00376F8E" w:rsidRDefault="00376F8E" w:rsidP="00376F8E">
            <w:pPr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 xml:space="preserve">DSWD-FO III activated Rapid Deployment Team of Disaster Response Management Division of DSWD and DSWD Provincial Extension Office Quick Response Team. </w:t>
            </w:r>
          </w:p>
          <w:p w14:paraId="777FCCC4" w14:textId="1D2A4636" w:rsidR="00376F8E" w:rsidRPr="00376F8E" w:rsidRDefault="00376F8E" w:rsidP="00376F8E">
            <w:pPr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spacing w:after="0" w:line="240" w:lineRule="auto"/>
              <w:ind w:hanging="720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76F8E">
              <w:rPr>
                <w:rFonts w:ascii="Arial" w:eastAsia="Arial" w:hAnsi="Arial" w:cs="Arial"/>
                <w:szCs w:val="24"/>
              </w:rPr>
              <w:t xml:space="preserve">DSWD-FO III continuously monitor weather updates in coordination with the DPEO’s and concerned LGUs. </w:t>
            </w:r>
          </w:p>
        </w:tc>
      </w:tr>
      <w:tr w:rsidR="00376F8E" w:rsidRPr="001E33B7" w14:paraId="2A88A9FC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2E49D" w14:textId="251F8914" w:rsidR="00376F8E" w:rsidRPr="003D4131" w:rsidRDefault="00376F8E" w:rsidP="00376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74B8F" w14:textId="77777777" w:rsidR="00376F8E" w:rsidRPr="003D4131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III participated the conduct of Pre-Disaster Risk Assessment with RDRRMC Members.</w:t>
            </w:r>
          </w:p>
          <w:p w14:paraId="441531DC" w14:textId="77777777" w:rsidR="00376F8E" w:rsidRPr="003D4131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III is continuously monitoring of weather updates in coordination with the DPEO’s and concerned LGUs.</w:t>
            </w:r>
          </w:p>
          <w:p w14:paraId="250E2405" w14:textId="54C5A824" w:rsidR="00376F8E" w:rsidRPr="003D4131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III activated the Rapid Deployment Team of Disaster Response Management Division</w:t>
            </w:r>
          </w:p>
        </w:tc>
      </w:tr>
      <w:tr w:rsidR="00376F8E" w:rsidRPr="001E33B7" w14:paraId="3B6CBD4D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E14B1" w14:textId="795FE6FF" w:rsidR="00376F8E" w:rsidRPr="002B71C0" w:rsidRDefault="00376F8E" w:rsidP="00376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DB58D" w14:textId="77777777" w:rsidR="00376F8E" w:rsidRPr="002B71C0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has 15 active QRTs with 27 members per team that are ready for deployment upon the activation of the Blue and Red alert status of the RDRRMC III.</w:t>
            </w:r>
          </w:p>
          <w:p w14:paraId="479AD83C" w14:textId="77777777" w:rsidR="00376F8E" w:rsidRPr="002B71C0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activated DRMD skeletal duty from the Regional Office</w:t>
            </w:r>
          </w:p>
          <w:p w14:paraId="1A6652EF" w14:textId="77777777" w:rsidR="00376F8E" w:rsidRPr="002B71C0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continuously coordinating and monitoring with the DSWD Provincial Extension Office of the seven (7) provinces relative to the status of their respective area.</w:t>
            </w:r>
          </w:p>
          <w:p w14:paraId="62886C32" w14:textId="77777777" w:rsidR="00376F8E" w:rsidRPr="002B71C0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ongoing repacking of 5,454 family food packs in Regional Warehouse.</w:t>
            </w:r>
          </w:p>
          <w:p w14:paraId="7F4CABEE" w14:textId="26AB9E0C" w:rsidR="00376F8E" w:rsidRPr="002B71C0" w:rsidRDefault="00376F8E" w:rsidP="00376F8E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ongoing procurement of 6,000 family food packs.</w:t>
            </w:r>
          </w:p>
        </w:tc>
      </w:tr>
    </w:tbl>
    <w:p w14:paraId="5901E8E0" w14:textId="1C3C185D" w:rsidR="001A2DB6" w:rsidRDefault="001A2DB6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87F7A6E" w14:textId="5D88B536" w:rsidR="00F3757F" w:rsidRDefault="00F3757F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609CBDFE" w14:textId="77777777" w:rsidR="00F3757F" w:rsidRDefault="00F3757F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2C297957" w14:textId="36C147CB" w:rsidR="003502CC" w:rsidRDefault="003502CC" w:rsidP="003502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3502CC" w:rsidRPr="001E33B7" w14:paraId="621AC6B6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0C0EB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5C7B1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D8611C" w:rsidRPr="001E33B7" w14:paraId="34FE4B17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EEBDE" w14:textId="28111D91" w:rsidR="00D8611C" w:rsidRPr="00D8611C" w:rsidRDefault="00D8611C" w:rsidP="00D86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>26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C2363" w14:textId="77777777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DSWD-FO CALABARZON submitted their Terminal Report. </w:t>
            </w:r>
          </w:p>
          <w:p w14:paraId="1FCE04FD" w14:textId="77777777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The DRMD coordinated with the LGUs re: activated evacuation centers facilities to be disinfected upon demobilization.</w:t>
            </w:r>
          </w:p>
          <w:p w14:paraId="7CFBC529" w14:textId="77777777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The DRMD coordinated with affected LGUs and other stakeholders on the condition and situation of displaced families/individuals.</w:t>
            </w:r>
          </w:p>
          <w:p w14:paraId="41BC156C" w14:textId="77777777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The DRMD maintained strong relationship and collaboration with RDRRMC IV-A response agencies. The EOC coordinated closely with the LSWDOs of the five (5) provinces of CALABARZON Region.</w:t>
            </w:r>
          </w:p>
          <w:p w14:paraId="58C4891D" w14:textId="77777777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The DSWD FO IV-A EOC maintains close coordination with the PSWDOs for the assistance provided by the LGUs and other stakeholders.</w:t>
            </w:r>
          </w:p>
          <w:p w14:paraId="2AFEB285" w14:textId="77777777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The DSWD FO IV-A EOC closely coordinated with RDRRMC IV-A EOC for information sharing, planning, validation and analysis of situation reports.</w:t>
            </w:r>
          </w:p>
          <w:p w14:paraId="7DFB83DA" w14:textId="0B4BA793" w:rsidR="00D8611C" w:rsidRPr="00D8611C" w:rsidRDefault="00D8611C" w:rsidP="00D8611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 w:rsidRPr="00D8611C">
              <w:rPr>
                <w:rFonts w:ascii="Arial" w:eastAsia="Arial" w:hAnsi="Arial" w:cs="Arial"/>
                <w:bCs/>
                <w:color w:val="000000" w:themeColor="text1"/>
                <w:szCs w:val="24"/>
              </w:rPr>
              <w:t>The alert status of the DSWD FO IV-A EOC and Regional and Provincial Quick Response Teams (RPQRTs) have been lowered. Hence, the DRMD is on standby, continuously monitoring the situation of the affected LGUs</w:t>
            </w:r>
          </w:p>
        </w:tc>
      </w:tr>
      <w:tr w:rsidR="00D8611C" w:rsidRPr="001E33B7" w14:paraId="25DB0AA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57F57" w14:textId="42915A0A" w:rsidR="00D8611C" w:rsidRPr="003D4131" w:rsidRDefault="00D8611C" w:rsidP="00D86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AE3F5" w14:textId="77777777" w:rsidR="00D8611C" w:rsidRPr="003D4131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 Sec. Rolando Joselito D. Bautista together with RD Lucia Almeda led the distribution of Family Food Packs to the affected families in Lopez, Quezon.</w:t>
            </w:r>
          </w:p>
          <w:p w14:paraId="380EA5DA" w14:textId="77777777" w:rsidR="00D8611C" w:rsidRPr="003D4131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The DRMD have mobilized the Regional Quick Response Team (QRT) Rapid Damage Assessment (RDANA) Team and conducted assessment in the Municipalities of Lopez,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Catanauan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and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Tagkawayan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, Quezon to evaluate the damage and loss to the agriculture sector and rural livelihoods, and identify the most affected households.</w:t>
            </w:r>
          </w:p>
          <w:p w14:paraId="019E3BDE" w14:textId="77777777" w:rsidR="00D8611C" w:rsidRPr="003D4131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The DRMD have mobilized the Regional Quick Response Team (QRT) Rapid Damage Assessment (RDANA) Team and conducted assessment in the Municipalities of Lopez,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Catanauan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and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Tagkawayan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, Quezon to evaluate the damage and loss to the agriculture sector and rural livelihoods, and identify the most affected households.</w:t>
            </w:r>
          </w:p>
          <w:p w14:paraId="463703BF" w14:textId="77777777" w:rsidR="00D8611C" w:rsidRPr="003D4131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The DRMD and National Resource and Logistics Management Bureau (NRLMB) mobilized Family Food Packs to augment the humanitarian response operation of the affected Local Government Units.</w:t>
            </w:r>
          </w:p>
          <w:p w14:paraId="3122F9EF" w14:textId="0E469E63" w:rsidR="00D8611C" w:rsidRPr="003D4131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  <w:tr w:rsidR="00D8611C" w:rsidRPr="001E33B7" w14:paraId="69AF1CCD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A2842" w14:textId="4570666C" w:rsidR="00D8611C" w:rsidRPr="003337EF" w:rsidRDefault="00D8611C" w:rsidP="00D86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61834" w14:textId="77777777" w:rsidR="00D8611C" w:rsidRPr="003337EF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The DRMD coordinated with the Regional Disaster Risk Reduction and Management Council (RDRRMC) IV-A for the mobilization of vehicle logistics to transport Family Food Packs in the heavily affected areas of Quezon.</w:t>
            </w:r>
          </w:p>
          <w:p w14:paraId="5EAB23A2" w14:textId="77777777" w:rsidR="00D8611C" w:rsidRPr="003337EF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DSWD-FO CALABARZON through DRMD is in close coordination with the RDRRMC CALABARZON Emergency Operations Center for latest development. The DRDM is on stand-by, continuously monitoring the situation of the affected LGUs.</w:t>
            </w:r>
          </w:p>
          <w:p w14:paraId="12D7539B" w14:textId="6682E626" w:rsidR="00D8611C" w:rsidRPr="003337EF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DRMD have mobilized the Regional Quick Response Team (QRT-Rapid Damage Assessment (RDANA)Team to conduct assessment in the Municipalities of Lopez,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Catanauan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and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Tagkawayan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>, Quezon.</w:t>
            </w:r>
          </w:p>
        </w:tc>
      </w:tr>
      <w:tr w:rsidR="00D8611C" w:rsidRPr="001E33B7" w14:paraId="5D78E70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62629" w14:textId="77777777" w:rsidR="00D8611C" w:rsidRPr="004B2C6D" w:rsidRDefault="00D8611C" w:rsidP="00D86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27115" w14:textId="0F3A0405" w:rsidR="00D8611C" w:rsidRPr="004B2C6D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through DRMD advised the LGUs to conduct assessment to share their findings with the response cluster of the Regional Disaster Risk Reduction and Management Council (RDRRMC) CALABARZON.</w:t>
            </w:r>
          </w:p>
          <w:p w14:paraId="6899DAA2" w14:textId="77777777" w:rsidR="00D8611C" w:rsidRPr="004B2C6D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is in close coordination with the affected LGUs and other relevant government agencies for identification of potential support and augmentation from the Field Office.</w:t>
            </w:r>
          </w:p>
          <w:p w14:paraId="191DD515" w14:textId="77777777" w:rsidR="00D8611C" w:rsidRPr="004B2C6D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Provincial Action Team (PAT) and Provincial Quick Response Teams (PQRT) of Quezon were advised to be on stand-by alert status for possible deployment and conduct assessment in the affected areas.</w:t>
            </w:r>
          </w:p>
          <w:p w14:paraId="5CCE17FC" w14:textId="77777777" w:rsidR="00D8611C" w:rsidRPr="004B2C6D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lastRenderedPageBreak/>
              <w:t>Regional and Provincial Quick Response Teams (PRQRT) were advised to monitor weather forecast and warnings regarding anticipated risk due to movement of the weather disturbance.</w:t>
            </w:r>
          </w:p>
          <w:p w14:paraId="73033799" w14:textId="4F4B3B32" w:rsidR="00D8611C" w:rsidRPr="004B2C6D" w:rsidRDefault="00D8611C" w:rsidP="00D8611C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Emergency Operations Center maintains close coordination with the PSWDOs for the assistance on assistance to be provided by the LGUs and other stakeholders.</w:t>
            </w:r>
          </w:p>
        </w:tc>
      </w:tr>
    </w:tbl>
    <w:p w14:paraId="28809245" w14:textId="645383A5" w:rsidR="001A2DB6" w:rsidRDefault="001A2DB6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054AE6B" w14:textId="24F5EA3D" w:rsidR="0012718C" w:rsidRDefault="0012718C" w:rsidP="001271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MIMAROPA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12718C" w:rsidRPr="001E33B7" w14:paraId="72E6FBBA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4042F" w14:textId="77777777" w:rsidR="0012718C" w:rsidRPr="001E33B7" w:rsidRDefault="0012718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1333A" w14:textId="77777777" w:rsidR="0012718C" w:rsidRPr="001E33B7" w:rsidRDefault="0012718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12718C" w:rsidRPr="001E33B7" w14:paraId="6786BC5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40F99" w14:textId="17D5781E" w:rsidR="0012718C" w:rsidRPr="003D4131" w:rsidRDefault="003337EF" w:rsidP="004F03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E8AFD" w14:textId="09F7FB4A" w:rsidR="000A79D3" w:rsidRPr="003D4131" w:rsidRDefault="003337EF" w:rsidP="000A79D3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DSWD-FO MIMAROPA submitted their </w:t>
            </w:r>
            <w:r w:rsidRPr="003D4131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terminal report</w:t>
            </w:r>
          </w:p>
        </w:tc>
      </w:tr>
      <w:tr w:rsidR="003337EF" w:rsidRPr="001E33B7" w14:paraId="1461E619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E504A" w14:textId="51550321" w:rsidR="003337EF" w:rsidRPr="003D4131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19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5F87B" w14:textId="77777777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MIMAROPA Ensured that there is an on-call truck available for delivery of goods and equipment to areas that will be affected.</w:t>
            </w:r>
          </w:p>
          <w:p w14:paraId="73FA6B4F" w14:textId="77777777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P/C/M QRTs in Five Provinces are alerted to monitor the daily local weather condition and any disturbances that may occur in their areas.</w:t>
            </w:r>
          </w:p>
          <w:p w14:paraId="68F3B3BA" w14:textId="77777777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24/7 On-call status of the R/P/C/M QRTs together with special projects staff for possible activation of Operation Center.</w:t>
            </w:r>
          </w:p>
          <w:p w14:paraId="511B037E" w14:textId="6842D47D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Standby logistical equipment and workforce through coordination with SWADT Offices and concerned LGUs on the management of stranded passengers, if any, in ports and terminals.</w:t>
            </w:r>
          </w:p>
        </w:tc>
      </w:tr>
    </w:tbl>
    <w:p w14:paraId="71B0386D" w14:textId="59C06565" w:rsidR="001149A2" w:rsidRPr="00005366" w:rsidRDefault="001149A2" w:rsidP="00574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26A49D73" w:rsidR="004818A5" w:rsidRPr="001E33B7" w:rsidRDefault="009F38EC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9F38EC">
        <w:rPr>
          <w:rFonts w:ascii="Arial" w:eastAsia="Arial" w:hAnsi="Arial" w:cs="Arial"/>
          <w:i/>
          <w:szCs w:val="24"/>
        </w:rPr>
        <w:t>The Disaster Response Operations Monitoring and Information Center (DROMIC) of the DSWD-DRMB continues to closely coordinate wit</w:t>
      </w:r>
      <w:r>
        <w:rPr>
          <w:rFonts w:ascii="Arial" w:eastAsia="Arial" w:hAnsi="Arial" w:cs="Arial"/>
          <w:i/>
          <w:szCs w:val="24"/>
        </w:rPr>
        <w:t xml:space="preserve">h </w:t>
      </w:r>
      <w:r w:rsidR="004818A5" w:rsidRPr="001E33B7">
        <w:rPr>
          <w:rFonts w:ascii="Arial" w:eastAsia="Arial" w:hAnsi="Arial" w:cs="Arial"/>
          <w:i/>
          <w:szCs w:val="24"/>
          <w:highlight w:val="white"/>
        </w:rPr>
        <w:t>DSWD-FO</w:t>
      </w:r>
      <w:r w:rsidR="00AC67DF">
        <w:rPr>
          <w:rFonts w:ascii="Arial" w:eastAsia="Arial" w:hAnsi="Arial" w:cs="Arial"/>
          <w:i/>
          <w:szCs w:val="24"/>
          <w:highlight w:val="white"/>
        </w:rPr>
        <w:t>s</w:t>
      </w:r>
      <w:r w:rsidR="00AC67DF">
        <w:rPr>
          <w:rFonts w:ascii="Arial" w:eastAsia="Arial" w:hAnsi="Arial" w:cs="Arial"/>
          <w:i/>
          <w:szCs w:val="24"/>
        </w:rPr>
        <w:t xml:space="preserve"> NCR, I, II, III, CALABARZON, MIMROPA, and CAR f</w:t>
      </w:r>
      <w:r w:rsidR="004818A5" w:rsidRPr="001E33B7">
        <w:rPr>
          <w:rFonts w:ascii="Arial" w:eastAsia="Arial" w:hAnsi="Arial" w:cs="Arial"/>
          <w:i/>
          <w:szCs w:val="24"/>
        </w:rPr>
        <w:t>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440ABC9" w14:textId="6C1F1D6F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54F2FDAD" w:rsidR="00191B40" w:rsidRPr="00191B40" w:rsidRDefault="003D4131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JAN ERWIN ANDREW I. ONTANILLAS</w:t>
      </w:r>
    </w:p>
    <w:p w14:paraId="029F090A" w14:textId="14856F39" w:rsidR="00191B40" w:rsidRPr="00376F8E" w:rsidRDefault="00376F8E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376F8E">
        <w:rPr>
          <w:rFonts w:ascii="Arial" w:eastAsia="Arial" w:hAnsi="Arial" w:cs="Arial"/>
          <w:b/>
          <w:bCs/>
          <w:sz w:val="24"/>
          <w:szCs w:val="24"/>
          <w:highlight w:val="white"/>
        </w:rPr>
        <w:t>MARC LEO BUTAC</w:t>
      </w:r>
    </w:p>
    <w:p w14:paraId="5F50F1E1" w14:textId="1709D7A8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D4277B" w14:textId="77777777" w:rsidR="00F03593" w:rsidRDefault="00F03593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38FCC6" w14:textId="237F09DB" w:rsidR="00191B40" w:rsidRPr="00191B40" w:rsidRDefault="003D4131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LESLIE JAWILI</w:t>
      </w:r>
    </w:p>
    <w:p w14:paraId="461CFAD9" w14:textId="7831B042" w:rsidR="003E47D2" w:rsidRDefault="00191B40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543BEE7" w14:textId="32FF5F30" w:rsidR="00F3757F" w:rsidRDefault="00F3757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9F381EB" w14:textId="5DCBC0CD" w:rsidR="00F3757F" w:rsidRDefault="00F3757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CB06DA8" w14:textId="476BC988" w:rsidR="00F3757F" w:rsidRDefault="00F3757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1F37DB" w14:textId="01AE910C" w:rsidR="00F3757F" w:rsidRDefault="00F3757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FF2D96" w14:textId="77777777" w:rsidR="00F3757F" w:rsidRDefault="00F3757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6CE2A67" w14:textId="5B0563B3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41BBAB" w14:textId="5EA7E92E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 w:rsidRPr="003337EF">
        <w:rPr>
          <w:rFonts w:ascii="Arial" w:eastAsia="Arial" w:hAnsi="Arial" w:cs="Arial"/>
          <w:b/>
          <w:color w:val="002060"/>
          <w:sz w:val="28"/>
          <w:szCs w:val="28"/>
          <w:highlight w:val="white"/>
        </w:rPr>
        <w:lastRenderedPageBreak/>
        <w:t>PHOTO DOCUMENTATION</w:t>
      </w:r>
    </w:p>
    <w:p w14:paraId="369AB96C" w14:textId="20A41E64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EED3FF" wp14:editId="2EB3313B">
            <wp:simplePos x="0" y="0"/>
            <wp:positionH relativeFrom="column">
              <wp:posOffset>1532255</wp:posOffset>
            </wp:positionH>
            <wp:positionV relativeFrom="paragraph">
              <wp:posOffset>59690</wp:posOffset>
            </wp:positionV>
            <wp:extent cx="6553835" cy="4915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PITO CALABARZON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DD54" w14:textId="7EBC80BF" w:rsidR="003337EF" w:rsidRP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3337EF" w:rsidRPr="003337EF" w:rsidSect="000B2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720" w:bottom="1080" w:left="720" w:header="360" w:footer="20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D64C" w14:textId="77777777" w:rsidR="00233E21" w:rsidRDefault="00233E21">
      <w:pPr>
        <w:spacing w:after="0" w:line="240" w:lineRule="auto"/>
      </w:pPr>
      <w:r>
        <w:separator/>
      </w:r>
    </w:p>
  </w:endnote>
  <w:endnote w:type="continuationSeparator" w:id="0">
    <w:p w14:paraId="7589EE91" w14:textId="77777777" w:rsidR="00233E21" w:rsidRDefault="002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F6EBF" w:rsidRDefault="006F6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F6EBF" w:rsidRDefault="006F6EBF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886D7B9" w:rsidR="006F6EBF" w:rsidRDefault="006F6EBF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 xml:space="preserve">DSWD DROMIC </w:t>
    </w:r>
    <w:r>
      <w:rPr>
        <w:rFonts w:ascii="Arial" w:eastAsia="Arial" w:hAnsi="Arial" w:cs="Arial"/>
        <w:sz w:val="14"/>
        <w:szCs w:val="14"/>
      </w:rPr>
      <w:t xml:space="preserve">Terminal Report on the Tropical Storm “PEPITO” </w:t>
    </w:r>
    <w:r w:rsidRPr="00264096">
      <w:rPr>
        <w:rFonts w:ascii="Arial" w:eastAsia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>6</w:t>
    </w:r>
    <w:r w:rsidRPr="00264096">
      <w:rPr>
        <w:rFonts w:ascii="Arial" w:eastAsia="Arial" w:hAnsi="Arial" w:cs="Arial"/>
        <w:sz w:val="14"/>
        <w:szCs w:val="14"/>
      </w:rPr>
      <w:t xml:space="preserve"> 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F6EBF" w:rsidRDefault="006F6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C494" w14:textId="77777777" w:rsidR="00233E21" w:rsidRDefault="00233E21">
      <w:pPr>
        <w:spacing w:after="0" w:line="240" w:lineRule="auto"/>
      </w:pPr>
      <w:r>
        <w:separator/>
      </w:r>
    </w:p>
  </w:footnote>
  <w:footnote w:type="continuationSeparator" w:id="0">
    <w:p w14:paraId="72DE156B" w14:textId="77777777" w:rsidR="00233E21" w:rsidRDefault="0023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F6EBF" w:rsidRDefault="006F6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F6EBF" w:rsidRDefault="006F6EBF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0761A87">
          <wp:simplePos x="0" y="0"/>
          <wp:positionH relativeFrom="margin">
            <wp:align>right</wp:align>
          </wp:positionH>
          <wp:positionV relativeFrom="paragraph">
            <wp:posOffset>36941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F6EBF" w:rsidRDefault="006F6EBF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F6EBF" w:rsidRDefault="006F6EBF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F6EBF" w:rsidRPr="00AC4062" w:rsidRDefault="006F6EB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F6EBF" w:rsidRDefault="006F6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16"/>
  </w:num>
  <w:num w:numId="4">
    <w:abstractNumId w:val="23"/>
  </w:num>
  <w:num w:numId="5">
    <w:abstractNumId w:val="24"/>
  </w:num>
  <w:num w:numId="6">
    <w:abstractNumId w:val="33"/>
  </w:num>
  <w:num w:numId="7">
    <w:abstractNumId w:val="22"/>
  </w:num>
  <w:num w:numId="8">
    <w:abstractNumId w:val="36"/>
  </w:num>
  <w:num w:numId="9">
    <w:abstractNumId w:val="21"/>
  </w:num>
  <w:num w:numId="10">
    <w:abstractNumId w:val="30"/>
  </w:num>
  <w:num w:numId="11">
    <w:abstractNumId w:val="17"/>
  </w:num>
  <w:num w:numId="12">
    <w:abstractNumId w:val="34"/>
  </w:num>
  <w:num w:numId="13">
    <w:abstractNumId w:val="29"/>
  </w:num>
  <w:num w:numId="14">
    <w:abstractNumId w:val="26"/>
  </w:num>
  <w:num w:numId="15">
    <w:abstractNumId w:val="39"/>
  </w:num>
  <w:num w:numId="16">
    <w:abstractNumId w:val="19"/>
  </w:num>
  <w:num w:numId="17">
    <w:abstractNumId w:val="40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5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1"/>
  </w:num>
  <w:num w:numId="23">
    <w:abstractNumId w:val="2"/>
  </w:num>
  <w:num w:numId="24">
    <w:abstractNumId w:val="32"/>
  </w:num>
  <w:num w:numId="25">
    <w:abstractNumId w:val="9"/>
  </w:num>
  <w:num w:numId="26">
    <w:abstractNumId w:val="25"/>
  </w:num>
  <w:num w:numId="27">
    <w:abstractNumId w:val="28"/>
  </w:num>
  <w:num w:numId="28">
    <w:abstractNumId w:val="7"/>
  </w:num>
  <w:num w:numId="29">
    <w:abstractNumId w:val="5"/>
  </w:num>
  <w:num w:numId="30">
    <w:abstractNumId w:val="27"/>
  </w:num>
  <w:num w:numId="31">
    <w:abstractNumId w:val="1"/>
  </w:num>
  <w:num w:numId="32">
    <w:abstractNumId w:val="18"/>
  </w:num>
  <w:num w:numId="33">
    <w:abstractNumId w:val="41"/>
  </w:num>
  <w:num w:numId="34">
    <w:abstractNumId w:val="13"/>
  </w:num>
  <w:num w:numId="35">
    <w:abstractNumId w:val="8"/>
  </w:num>
  <w:num w:numId="36">
    <w:abstractNumId w:val="42"/>
  </w:num>
  <w:num w:numId="37">
    <w:abstractNumId w:val="15"/>
  </w:num>
  <w:num w:numId="38">
    <w:abstractNumId w:val="0"/>
  </w:num>
  <w:num w:numId="39">
    <w:abstractNumId w:val="10"/>
  </w:num>
  <w:num w:numId="40">
    <w:abstractNumId w:val="37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316D0"/>
    <w:rsid w:val="002328B4"/>
    <w:rsid w:val="00233E21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76F8E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51F59"/>
    <w:rsid w:val="00662BAE"/>
    <w:rsid w:val="00666C2A"/>
    <w:rsid w:val="00667C97"/>
    <w:rsid w:val="00672917"/>
    <w:rsid w:val="006741A0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6EBF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06F9A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3697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38EC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4999"/>
    <w:rsid w:val="00C7746C"/>
    <w:rsid w:val="00C8577A"/>
    <w:rsid w:val="00C86F05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8611C"/>
    <w:rsid w:val="00D91F2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4EE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03593"/>
    <w:rsid w:val="00F1223F"/>
    <w:rsid w:val="00F1669C"/>
    <w:rsid w:val="00F21A16"/>
    <w:rsid w:val="00F32143"/>
    <w:rsid w:val="00F3757F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908E-85AE-476F-BCDB-C947DC96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Jan Erwin Andrew I. Ontanillas</cp:lastModifiedBy>
  <cp:revision>4</cp:revision>
  <dcterms:created xsi:type="dcterms:W3CDTF">2020-10-26T04:59:00Z</dcterms:created>
  <dcterms:modified xsi:type="dcterms:W3CDTF">2020-10-26T05:15:00Z</dcterms:modified>
</cp:coreProperties>
</file>