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FF723" w14:textId="4A1752C9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4D0C3F3" w14:textId="60514DC7" w:rsidR="00FB6A1D" w:rsidRDefault="00FB6A1D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5405540"/>
      <w:r w:rsidRPr="00FB6A1D">
        <w:rPr>
          <w:rFonts w:ascii="Arial" w:eastAsia="Arial" w:hAnsi="Arial" w:cs="Arial"/>
          <w:b/>
          <w:sz w:val="32"/>
          <w:szCs w:val="32"/>
        </w:rPr>
        <w:t>Barangays Alima and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FB6A1D">
        <w:rPr>
          <w:rFonts w:ascii="Arial" w:eastAsia="Arial" w:hAnsi="Arial" w:cs="Arial"/>
          <w:b/>
          <w:sz w:val="32"/>
          <w:szCs w:val="32"/>
        </w:rPr>
        <w:t>Sineguelasan, Bacoor City, Cavite</w:t>
      </w:r>
    </w:p>
    <w:bookmarkEnd w:id="0"/>
    <w:p w14:paraId="4085E4A4" w14:textId="6BE949CD" w:rsidR="001149A2" w:rsidRPr="000E28BD" w:rsidRDefault="00D0357D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 </w:t>
      </w:r>
      <w:r w:rsidR="00FB6A1D">
        <w:rPr>
          <w:rFonts w:ascii="Arial" w:eastAsia="Arial" w:hAnsi="Arial" w:cs="Arial"/>
          <w:sz w:val="24"/>
          <w:szCs w:val="24"/>
        </w:rPr>
        <w:t>05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 w:rsidR="00FB6A1D">
        <w:rPr>
          <w:rFonts w:ascii="Arial" w:eastAsia="Arial" w:hAnsi="Arial" w:cs="Arial"/>
          <w:sz w:val="24"/>
          <w:szCs w:val="24"/>
        </w:rPr>
        <w:t>Nove</w:t>
      </w:r>
      <w:r w:rsidR="00542E11">
        <w:rPr>
          <w:rFonts w:ascii="Arial" w:eastAsia="Arial" w:hAnsi="Arial" w:cs="Arial"/>
          <w:sz w:val="24"/>
          <w:szCs w:val="24"/>
        </w:rPr>
        <w:t>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FB6A1D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6BA12CF6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14083398" w:rsidR="0027218C" w:rsidRPr="00FB6A1D" w:rsidRDefault="00FB6A1D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8"/>
          <w:szCs w:val="24"/>
        </w:rPr>
      </w:pPr>
      <w:r w:rsidRPr="00FB6A1D">
        <w:rPr>
          <w:rFonts w:ascii="Arial" w:hAnsi="Arial" w:cs="Arial"/>
          <w:i/>
          <w:iCs/>
          <w:color w:val="222222"/>
        </w:rPr>
        <w:t>This is the first and final report on the fire incident that occurred i</w:t>
      </w:r>
      <w:r w:rsidR="0028262A" w:rsidRPr="00FB6A1D">
        <w:rPr>
          <w:rFonts w:ascii="Arial" w:hAnsi="Arial" w:cs="Arial"/>
          <w:i/>
          <w:iCs/>
          <w:color w:val="222222"/>
        </w:rPr>
        <w:t>n</w:t>
      </w:r>
      <w:r w:rsidRPr="00FB6A1D">
        <w:rPr>
          <w:rFonts w:ascii="Arial" w:hAnsi="Arial" w:cs="Arial"/>
          <w:i/>
          <w:iCs/>
          <w:color w:val="222222"/>
        </w:rPr>
        <w:t xml:space="preserve"> Barangays Alima and Sineguelasan, Bacoor City, Cavite</w:t>
      </w:r>
      <w:r w:rsidR="0028262A" w:rsidRPr="00FB6A1D">
        <w:rPr>
          <w:rFonts w:ascii="Arial" w:hAnsi="Arial" w:cs="Arial"/>
          <w:i/>
          <w:iCs/>
          <w:color w:val="222222"/>
        </w:rPr>
        <w:t xml:space="preserve"> </w:t>
      </w:r>
      <w:r w:rsidRPr="00FB6A1D">
        <w:rPr>
          <w:rFonts w:ascii="Arial" w:hAnsi="Arial" w:cs="Arial"/>
          <w:i/>
          <w:iCs/>
          <w:color w:val="222222"/>
        </w:rPr>
        <w:t>on 01</w:t>
      </w:r>
      <w:r w:rsidR="00514A8A" w:rsidRPr="00FB6A1D">
        <w:rPr>
          <w:rFonts w:ascii="Arial" w:hAnsi="Arial" w:cs="Arial"/>
          <w:i/>
          <w:iCs/>
          <w:color w:val="222222"/>
        </w:rPr>
        <w:t xml:space="preserve"> </w:t>
      </w:r>
      <w:r w:rsidRPr="00FB6A1D">
        <w:rPr>
          <w:rFonts w:ascii="Arial" w:hAnsi="Arial" w:cs="Arial"/>
          <w:i/>
          <w:iCs/>
          <w:color w:val="222222"/>
        </w:rPr>
        <w:t>November</w:t>
      </w:r>
      <w:r w:rsidR="002B3247" w:rsidRPr="00FB6A1D">
        <w:rPr>
          <w:rFonts w:ascii="Arial" w:hAnsi="Arial" w:cs="Arial"/>
          <w:i/>
          <w:iCs/>
          <w:color w:val="222222"/>
        </w:rPr>
        <w:t xml:space="preserve"> 2020</w:t>
      </w:r>
      <w:r w:rsidRPr="00FB6A1D">
        <w:rPr>
          <w:rFonts w:ascii="Arial" w:hAnsi="Arial" w:cs="Arial"/>
          <w:i/>
          <w:iCs/>
          <w:color w:val="222222"/>
        </w:rPr>
        <w:t xml:space="preserve">. </w:t>
      </w:r>
    </w:p>
    <w:p w14:paraId="27ED8236" w14:textId="27349FB5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FB6A1D">
        <w:rPr>
          <w:rFonts w:ascii="Arial" w:eastAsia="Arial" w:hAnsi="Arial" w:cs="Arial"/>
          <w:i/>
          <w:color w:val="0070C0"/>
          <w:sz w:val="16"/>
        </w:rPr>
        <w:t>CALABARZON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148D2FC5" w:rsidR="001E6399" w:rsidRPr="00542E1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D47C4C" w:rsidRPr="00D47C4C">
        <w:rPr>
          <w:rFonts w:ascii="Arial" w:eastAsia="Arial" w:hAnsi="Arial" w:cs="Arial"/>
          <w:b/>
          <w:color w:val="0070C0"/>
          <w:sz w:val="24"/>
          <w:szCs w:val="24"/>
        </w:rPr>
        <w:t>407</w:t>
      </w:r>
      <w:r w:rsidR="00C46FBB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47C4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C4C" w:rsidRPr="00D47C4C">
        <w:rPr>
          <w:rFonts w:ascii="Arial" w:eastAsia="Arial" w:hAnsi="Arial" w:cs="Arial"/>
          <w:b/>
          <w:color w:val="0070C0"/>
          <w:sz w:val="24"/>
          <w:szCs w:val="24"/>
        </w:rPr>
        <w:t>1,711</w:t>
      </w:r>
      <w:r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D47C4C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Barangays Alima and Sineguelasan, Bacoor City, Cavite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2"/>
        <w:gridCol w:w="4503"/>
        <w:gridCol w:w="1792"/>
        <w:gridCol w:w="1380"/>
        <w:gridCol w:w="1365"/>
      </w:tblGrid>
      <w:tr w:rsidR="00FB6A1D" w:rsidRPr="00FB6A1D" w14:paraId="198BD726" w14:textId="77777777" w:rsidTr="00FB6A1D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EFD370" w14:textId="77777777" w:rsidR="00FB6A1D" w:rsidRPr="00FB6A1D" w:rsidRDefault="00FB6A1D" w:rsidP="00FB6A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8F4661" w14:textId="77777777" w:rsidR="00FB6A1D" w:rsidRPr="00FB6A1D" w:rsidRDefault="00FB6A1D" w:rsidP="00FB6A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B6A1D" w:rsidRPr="00FB6A1D" w14:paraId="65913189" w14:textId="77777777" w:rsidTr="00FB6A1D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5FF1" w14:textId="77777777" w:rsidR="00FB6A1D" w:rsidRPr="00FB6A1D" w:rsidRDefault="00FB6A1D" w:rsidP="00FB6A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4F7FB6" w14:textId="77777777" w:rsidR="00FB6A1D" w:rsidRPr="00FB6A1D" w:rsidRDefault="00FB6A1D" w:rsidP="00FB6A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E336D2" w14:textId="77777777" w:rsidR="00FB6A1D" w:rsidRPr="00FB6A1D" w:rsidRDefault="00FB6A1D" w:rsidP="00FB6A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BAD7A0" w14:textId="77777777" w:rsidR="00FB6A1D" w:rsidRPr="00FB6A1D" w:rsidRDefault="00FB6A1D" w:rsidP="00FB6A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B6A1D" w:rsidRPr="00FB6A1D" w14:paraId="35A25EF0" w14:textId="77777777" w:rsidTr="00FB6A1D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5A688" w14:textId="77777777" w:rsidR="00FB6A1D" w:rsidRPr="00FB6A1D" w:rsidRDefault="00FB6A1D" w:rsidP="00FB6A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B2B021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BE497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407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D3F69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1,711 </w:t>
            </w:r>
          </w:p>
        </w:tc>
      </w:tr>
      <w:tr w:rsidR="00FB6A1D" w:rsidRPr="00FB6A1D" w14:paraId="07BA539E" w14:textId="77777777" w:rsidTr="00FB6A1D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0EBB7" w14:textId="77777777" w:rsidR="00FB6A1D" w:rsidRPr="00FB6A1D" w:rsidRDefault="00FB6A1D" w:rsidP="00FB6A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F8CBE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C736E2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407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91381F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1,711 </w:t>
            </w:r>
          </w:p>
        </w:tc>
      </w:tr>
      <w:tr w:rsidR="00FB6A1D" w:rsidRPr="00FB6A1D" w14:paraId="4253C553" w14:textId="77777777" w:rsidTr="00FB6A1D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6809C" w14:textId="77777777" w:rsidR="00FB6A1D" w:rsidRPr="00FB6A1D" w:rsidRDefault="00FB6A1D" w:rsidP="00FB6A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09A97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77C5A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407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A7F4F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1,711 </w:t>
            </w:r>
          </w:p>
        </w:tc>
      </w:tr>
      <w:tr w:rsidR="00FB6A1D" w:rsidRPr="00FB6A1D" w14:paraId="2C96DE39" w14:textId="77777777" w:rsidTr="00FB6A1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5E808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3D72" w14:textId="77777777" w:rsidR="00FB6A1D" w:rsidRPr="00FB6A1D" w:rsidRDefault="00FB6A1D" w:rsidP="00FB6A1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FD48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75D8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407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AC46" w14:textId="77777777" w:rsidR="00FB6A1D" w:rsidRPr="00FB6A1D" w:rsidRDefault="00FB6A1D" w:rsidP="00FB6A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B6A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1,711 </w:t>
            </w:r>
          </w:p>
        </w:tc>
      </w:tr>
    </w:tbl>
    <w:p w14:paraId="53EDA642" w14:textId="64658EE6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B6A1D">
        <w:rPr>
          <w:rFonts w:ascii="Arial" w:eastAsia="Arial" w:hAnsi="Arial" w:cs="Arial"/>
          <w:i/>
          <w:color w:val="0070C0"/>
          <w:sz w:val="16"/>
        </w:rPr>
        <w:t>CALABARZON</w:t>
      </w:r>
    </w:p>
    <w:p w14:paraId="5F101ABA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DE28DE" w14:textId="77777777"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70D27136" w14:textId="77777777"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544E1708" w14:textId="48BC5245" w:rsidR="00BA3584" w:rsidRDefault="00BE3138" w:rsidP="00542E1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BA3584">
        <w:rPr>
          <w:rFonts w:ascii="Arial" w:hAnsi="Arial" w:cs="Arial"/>
          <w:color w:val="000000"/>
          <w:sz w:val="24"/>
        </w:rPr>
        <w:t xml:space="preserve">There are </w:t>
      </w:r>
      <w:r w:rsidR="00D47C4C">
        <w:rPr>
          <w:rFonts w:ascii="Arial" w:hAnsi="Arial" w:cs="Arial"/>
          <w:b/>
          <w:bCs/>
          <w:color w:val="0070C0"/>
          <w:sz w:val="24"/>
        </w:rPr>
        <w:t>401</w:t>
      </w:r>
      <w:r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Pr="00BA3584">
        <w:rPr>
          <w:rFonts w:ascii="Arial" w:hAnsi="Arial" w:cs="Arial"/>
          <w:color w:val="000000"/>
          <w:sz w:val="24"/>
        </w:rPr>
        <w:t xml:space="preserve">or </w:t>
      </w:r>
      <w:r w:rsidR="00D47C4C">
        <w:rPr>
          <w:rFonts w:ascii="Arial" w:hAnsi="Arial" w:cs="Arial"/>
          <w:b/>
          <w:bCs/>
          <w:color w:val="0070C0"/>
          <w:sz w:val="24"/>
        </w:rPr>
        <w:t>1,686</w:t>
      </w:r>
      <w:r w:rsidR="000C0C06"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="00C72E8D" w:rsidRPr="00BA3584">
        <w:rPr>
          <w:rFonts w:ascii="Arial" w:hAnsi="Arial" w:cs="Arial"/>
          <w:color w:val="000000"/>
          <w:sz w:val="24"/>
        </w:rPr>
        <w:t>currently taking</w:t>
      </w:r>
      <w:r w:rsidR="00E67EC8" w:rsidRPr="00BA3584">
        <w:rPr>
          <w:rFonts w:ascii="Arial" w:hAnsi="Arial" w:cs="Arial"/>
          <w:color w:val="000000"/>
          <w:sz w:val="24"/>
        </w:rPr>
        <w:t xml:space="preserve"> temporary shelter</w:t>
      </w:r>
      <w:r w:rsidR="001A1CB7" w:rsidRPr="00BA3584">
        <w:rPr>
          <w:rFonts w:ascii="Arial" w:hAnsi="Arial" w:cs="Arial"/>
          <w:color w:val="000000"/>
          <w:sz w:val="24"/>
        </w:rPr>
        <w:t xml:space="preserve"> </w:t>
      </w:r>
      <w:r w:rsidR="00D47C4C">
        <w:rPr>
          <w:rFonts w:ascii="Arial" w:hAnsi="Arial" w:cs="Arial"/>
          <w:color w:val="000000"/>
          <w:sz w:val="24"/>
        </w:rPr>
        <w:t xml:space="preserve">in </w:t>
      </w:r>
      <w:r w:rsidR="00D47C4C" w:rsidRPr="00D47C4C">
        <w:rPr>
          <w:rFonts w:ascii="Arial" w:hAnsi="Arial" w:cs="Arial"/>
          <w:b/>
          <w:bCs/>
          <w:color w:val="0070C0"/>
          <w:sz w:val="24"/>
        </w:rPr>
        <w:t>four (4) evacuation centers</w:t>
      </w:r>
      <w:r w:rsidR="00542E11" w:rsidRPr="005F5B98">
        <w:rPr>
          <w:rFonts w:ascii="Arial" w:hAnsi="Arial" w:cs="Arial"/>
          <w:b/>
          <w:sz w:val="24"/>
        </w:rPr>
        <w:t xml:space="preserve"> </w:t>
      </w:r>
      <w:r w:rsidRPr="00BA3584">
        <w:rPr>
          <w:rFonts w:ascii="Arial" w:hAnsi="Arial" w:cs="Arial"/>
          <w:sz w:val="24"/>
        </w:rPr>
        <w:t>(see Table 2)</w:t>
      </w:r>
      <w:r w:rsidR="00E67EC8" w:rsidRPr="00BA3584">
        <w:rPr>
          <w:rFonts w:ascii="Arial" w:hAnsi="Arial" w:cs="Arial"/>
          <w:sz w:val="24"/>
        </w:rPr>
        <w:t>.</w:t>
      </w:r>
    </w:p>
    <w:p w14:paraId="52D675D5" w14:textId="77777777"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087343C0" w14:textId="0FAED471" w:rsidR="00CE3C91" w:rsidRPr="00BA3584" w:rsidRDefault="001360D6" w:rsidP="00BA3584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340E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852"/>
        <w:gridCol w:w="848"/>
        <w:gridCol w:w="850"/>
        <w:gridCol w:w="850"/>
        <w:gridCol w:w="852"/>
        <w:gridCol w:w="823"/>
      </w:tblGrid>
      <w:tr w:rsidR="00D47C4C" w:rsidRPr="00D47C4C" w14:paraId="0B6645BE" w14:textId="77777777" w:rsidTr="00D47C4C">
        <w:trPr>
          <w:trHeight w:val="20"/>
        </w:trPr>
        <w:tc>
          <w:tcPr>
            <w:tcW w:w="21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05DD33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03F5BF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DF782EB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47C4C" w:rsidRPr="00D47C4C" w14:paraId="44FD05D9" w14:textId="77777777" w:rsidTr="00D47C4C">
        <w:trPr>
          <w:trHeight w:val="20"/>
        </w:trPr>
        <w:tc>
          <w:tcPr>
            <w:tcW w:w="2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E51BA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24642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EAE04DB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47C4C" w:rsidRPr="00D47C4C" w14:paraId="6BDDCF56" w14:textId="77777777" w:rsidTr="00D47C4C">
        <w:trPr>
          <w:trHeight w:val="20"/>
        </w:trPr>
        <w:tc>
          <w:tcPr>
            <w:tcW w:w="2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29D4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753E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11B373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1E1A25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47C4C" w:rsidRPr="00D47C4C" w14:paraId="6D7C8E59" w14:textId="77777777" w:rsidTr="00D47C4C">
        <w:trPr>
          <w:trHeight w:val="20"/>
        </w:trPr>
        <w:tc>
          <w:tcPr>
            <w:tcW w:w="2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048A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82E3FF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717A84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75DB5F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6D6E94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37FDE8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147FED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47C4C" w:rsidRPr="00D47C4C" w14:paraId="7E4F8CFD" w14:textId="77777777" w:rsidTr="00D47C4C">
        <w:trPr>
          <w:trHeight w:val="20"/>
        </w:trPr>
        <w:tc>
          <w:tcPr>
            <w:tcW w:w="2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DEFF0C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EB1833" w14:textId="5C5B880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C0FC7" w14:textId="43829BCE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6286C" w14:textId="77B967C1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099CFD" w14:textId="70450CDE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86329" w14:textId="776B24FD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10027" w14:textId="1996C5AF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</w:tr>
      <w:tr w:rsidR="00D47C4C" w:rsidRPr="00D47C4C" w14:paraId="66815DE1" w14:textId="77777777" w:rsidTr="00D47C4C">
        <w:trPr>
          <w:trHeight w:val="20"/>
        </w:trPr>
        <w:tc>
          <w:tcPr>
            <w:tcW w:w="2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E0C849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707474" w14:textId="6C9C0A25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30817A" w14:textId="0567272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3D80B" w14:textId="667645CA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41D14" w14:textId="5B8A2E8D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C5537" w14:textId="7B4E4473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E0DB9" w14:textId="0A6B59EE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</w:tr>
      <w:tr w:rsidR="00D47C4C" w:rsidRPr="00D47C4C" w14:paraId="080F5BDC" w14:textId="77777777" w:rsidTr="00D47C4C">
        <w:trPr>
          <w:trHeight w:val="20"/>
        </w:trPr>
        <w:tc>
          <w:tcPr>
            <w:tcW w:w="2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B5B41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89046" w14:textId="6D286241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3A818" w14:textId="0DE498E2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47251" w14:textId="53EBDEF7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25FD9" w14:textId="7E97E452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3DA2E" w14:textId="6383E595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5E216" w14:textId="2FF13C87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</w:tr>
      <w:tr w:rsidR="00D47C4C" w:rsidRPr="00D47C4C" w14:paraId="197AB17C" w14:textId="77777777" w:rsidTr="00D47C4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3AFAF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9F38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0E98" w14:textId="35B9F49C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C298" w14:textId="434443B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3834" w14:textId="3272D38D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0DD1" w14:textId="7D3B9FBD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C61E" w14:textId="70C10919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59C4" w14:textId="3C3C8A2E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1,686 </w:t>
            </w:r>
          </w:p>
        </w:tc>
      </w:tr>
    </w:tbl>
    <w:p w14:paraId="036FE3EA" w14:textId="4AB08832" w:rsidR="001360D6" w:rsidRPr="000E28BD" w:rsidRDefault="001360D6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D47C4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needs of the displaced families and persons shall be contin</w:t>
      </w:r>
      <w:r w:rsidR="00C936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u</w:t>
      </w:r>
      <w:r w:rsidR="00D47C4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ously provided by the LGU of Bacoor</w:t>
      </w:r>
    </w:p>
    <w:p w14:paraId="76872AFF" w14:textId="539F3B52"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47C4C">
        <w:rPr>
          <w:rFonts w:ascii="Arial" w:eastAsia="Arial" w:hAnsi="Arial" w:cs="Arial"/>
          <w:i/>
          <w:color w:val="0070C0"/>
          <w:sz w:val="16"/>
        </w:rPr>
        <w:t>CALABARZON</w:t>
      </w:r>
    </w:p>
    <w:p w14:paraId="3A89722C" w14:textId="77777777" w:rsidR="00266326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5EDCD70" w14:textId="77777777" w:rsidR="00BA3584" w:rsidRPr="00BA3584" w:rsidRDefault="00BA3584" w:rsidP="00542E1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4EEF1827" w14:textId="3B609A4C" w:rsidR="008344EE" w:rsidRPr="00542E11" w:rsidRDefault="00BA3584" w:rsidP="0026632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2E11">
        <w:rPr>
          <w:rFonts w:ascii="Arial" w:hAnsi="Arial" w:cs="Arial"/>
          <w:sz w:val="24"/>
          <w:szCs w:val="24"/>
          <w:shd w:val="clear" w:color="auto" w:fill="FFFFFF"/>
        </w:rPr>
        <w:t>There are </w:t>
      </w:r>
      <w:r w:rsidRPr="00D47C4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 Families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D47C4C" w:rsidRPr="00D47C4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25</w:t>
      </w:r>
      <w:r w:rsidRPr="00D47C4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266326">
        <w:rPr>
          <w:rFonts w:ascii="Arial" w:hAnsi="Arial" w:cs="Arial"/>
          <w:sz w:val="24"/>
          <w:szCs w:val="24"/>
          <w:shd w:val="clear" w:color="auto" w:fill="FFFFFF"/>
        </w:rPr>
        <w:t xml:space="preserve">temporarily 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staying with their relatives and/or friends</w:t>
      </w:r>
      <w:r w:rsidR="00D47C4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542E11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457E8189" w14:textId="77777777"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7777777"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779" w:type="pct"/>
        <w:tblInd w:w="704" w:type="dxa"/>
        <w:tblLook w:val="04A0" w:firstRow="1" w:lastRow="0" w:firstColumn="1" w:lastColumn="0" w:noHBand="0" w:noVBand="1"/>
      </w:tblPr>
      <w:tblGrid>
        <w:gridCol w:w="284"/>
        <w:gridCol w:w="4108"/>
        <w:gridCol w:w="1162"/>
        <w:gridCol w:w="1162"/>
        <w:gridCol w:w="1162"/>
        <w:gridCol w:w="1162"/>
        <w:gridCol w:w="272"/>
      </w:tblGrid>
      <w:tr w:rsidR="00D47C4C" w:rsidRPr="00D47C4C" w14:paraId="264580D0" w14:textId="77777777" w:rsidTr="00D47C4C">
        <w:trPr>
          <w:gridAfter w:val="1"/>
          <w:wAfter w:w="146" w:type="pct"/>
          <w:trHeight w:val="20"/>
        </w:trPr>
        <w:tc>
          <w:tcPr>
            <w:tcW w:w="2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FA4AB3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109589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47C4C" w:rsidRPr="00D47C4C" w14:paraId="0AFF23C9" w14:textId="77777777" w:rsidTr="00D47C4C">
        <w:trPr>
          <w:gridAfter w:val="1"/>
          <w:wAfter w:w="146" w:type="pct"/>
          <w:trHeight w:val="20"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6F72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9F57FB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47C4C" w:rsidRPr="00D47C4C" w14:paraId="317F91DE" w14:textId="77777777" w:rsidTr="00D47C4C">
        <w:trPr>
          <w:gridAfter w:val="1"/>
          <w:wAfter w:w="146" w:type="pct"/>
          <w:trHeight w:val="20"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8333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1229AB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585ED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47C4C" w:rsidRPr="00D47C4C" w14:paraId="56ADC1A0" w14:textId="74467097" w:rsidTr="00D47C4C">
        <w:trPr>
          <w:trHeight w:val="20"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B10B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9399BD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7D979C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2E4577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2BC192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146" w:type="pct"/>
            <w:vAlign w:val="center"/>
          </w:tcPr>
          <w:p w14:paraId="4D5A4020" w14:textId="1A5ADB6D" w:rsidR="00D47C4C" w:rsidRPr="00D47C4C" w:rsidRDefault="00D47C4C" w:rsidP="00D47C4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7C4C" w:rsidRPr="00D47C4C" w14:paraId="0FCBC60D" w14:textId="77777777" w:rsidTr="00D47C4C">
        <w:trPr>
          <w:gridAfter w:val="1"/>
          <w:wAfter w:w="146" w:type="pct"/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906761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DACB14" w14:textId="6F981D74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ADAC1D" w14:textId="740F3AB9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B0931B" w14:textId="79D86162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08199F" w14:textId="01811639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D47C4C" w:rsidRPr="00D47C4C" w14:paraId="3492B064" w14:textId="77777777" w:rsidTr="00D47C4C">
        <w:trPr>
          <w:gridAfter w:val="1"/>
          <w:wAfter w:w="146" w:type="pct"/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7999AC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0910C2" w14:textId="64BA1366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D4C1F0" w14:textId="53DABD05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0D766" w14:textId="00865360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43B47" w14:textId="689F606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D47C4C" w:rsidRPr="00D47C4C" w14:paraId="561B2D16" w14:textId="77777777" w:rsidTr="00D47C4C">
        <w:trPr>
          <w:gridAfter w:val="1"/>
          <w:wAfter w:w="146" w:type="pct"/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5BC80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D6D79" w14:textId="1DED0CFC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DC400" w14:textId="41A94F0A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51662" w14:textId="368A146C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8741B" w14:textId="10C85DEE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D47C4C" w:rsidRPr="00D47C4C" w14:paraId="44E7352C" w14:textId="77777777" w:rsidTr="00D47C4C">
        <w:trPr>
          <w:gridAfter w:val="1"/>
          <w:wAfter w:w="146" w:type="pct"/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D99CE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547F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4BE6" w14:textId="557D607F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A680" w14:textId="503BEA04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3E5D" w14:textId="7473A74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42A9" w14:textId="5EED3D73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</w:tbl>
    <w:p w14:paraId="723384E3" w14:textId="59D2424A" w:rsidR="00BA3584" w:rsidRPr="000E28BD" w:rsidRDefault="00BA3584" w:rsidP="00BA3584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D47C4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These families and persons opted to stay with their relatives and/or friends</w:t>
      </w:r>
    </w:p>
    <w:p w14:paraId="012E1811" w14:textId="37F3E7AF" w:rsidR="00266326" w:rsidRPr="00D47C4C" w:rsidRDefault="00BA3584" w:rsidP="00D47C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47C4C">
        <w:rPr>
          <w:rFonts w:ascii="Arial" w:eastAsia="Arial" w:hAnsi="Arial" w:cs="Arial"/>
          <w:i/>
          <w:color w:val="0070C0"/>
          <w:sz w:val="16"/>
        </w:rPr>
        <w:t>CALABARZON</w:t>
      </w:r>
    </w:p>
    <w:p w14:paraId="605DE345" w14:textId="77777777"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CE4B685" w14:textId="40A91319" w:rsidR="00290FCA" w:rsidRPr="0052272B" w:rsidRDefault="00290FCA" w:rsidP="00AB2BC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</w:t>
      </w:r>
      <w:r w:rsidR="00AB1A5C">
        <w:rPr>
          <w:rFonts w:ascii="Arial" w:eastAsia="Times New Roman" w:hAnsi="Arial" w:cs="Arial"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>of </w:t>
      </w:r>
      <w:r w:rsidRPr="00AB1A5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47C4C" w:rsidRPr="00AB1A5C">
        <w:rPr>
          <w:rFonts w:ascii="Arial" w:eastAsia="Times New Roman" w:hAnsi="Arial" w:cs="Arial"/>
          <w:b/>
          <w:bCs/>
          <w:color w:val="0070C0"/>
          <w:sz w:val="24"/>
          <w:szCs w:val="24"/>
        </w:rPr>
        <w:t>793,625.00</w:t>
      </w:r>
      <w:r w:rsidR="00266326" w:rsidRPr="00AB1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D47C4C">
        <w:rPr>
          <w:rFonts w:ascii="Arial" w:eastAsia="Times New Roman" w:hAnsi="Arial" w:cs="Arial"/>
          <w:sz w:val="24"/>
          <w:szCs w:val="24"/>
        </w:rPr>
        <w:t xml:space="preserve">by </w:t>
      </w:r>
      <w:r w:rsidR="00D47C4C" w:rsidRPr="006C1DE8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D47C4C" w:rsidRPr="0052272B">
        <w:rPr>
          <w:rFonts w:ascii="Arial" w:eastAsia="Times New Roman" w:hAnsi="Arial" w:cs="Arial"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>to the affected families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 xml:space="preserve">(see Table </w:t>
      </w:r>
      <w:r w:rsidR="00D47C4C">
        <w:rPr>
          <w:rFonts w:ascii="Arial" w:eastAsia="Times New Roman" w:hAnsi="Arial" w:cs="Arial"/>
          <w:sz w:val="24"/>
          <w:szCs w:val="24"/>
        </w:rPr>
        <w:t>4</w:t>
      </w:r>
      <w:r w:rsidRPr="0052272B">
        <w:rPr>
          <w:rFonts w:ascii="Arial" w:eastAsia="Times New Roman" w:hAnsi="Arial" w:cs="Arial"/>
          <w:sz w:val="24"/>
          <w:szCs w:val="24"/>
        </w:rPr>
        <w:t>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3D3AD333" w14:textId="77777777"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3654AE95"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D47C4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169"/>
        <w:gridCol w:w="1383"/>
        <w:gridCol w:w="1005"/>
        <w:gridCol w:w="1005"/>
        <w:gridCol w:w="1091"/>
        <w:gridCol w:w="1385"/>
      </w:tblGrid>
      <w:tr w:rsidR="00D47C4C" w:rsidRPr="00D47C4C" w14:paraId="3D6A80CD" w14:textId="77777777" w:rsidTr="00D47C4C">
        <w:trPr>
          <w:trHeight w:val="20"/>
        </w:trPr>
        <w:tc>
          <w:tcPr>
            <w:tcW w:w="1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DE4419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E75310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47C4C" w:rsidRPr="00D47C4C" w14:paraId="6FFB7358" w14:textId="77777777" w:rsidTr="00D47C4C">
        <w:trPr>
          <w:trHeight w:val="20"/>
        </w:trPr>
        <w:tc>
          <w:tcPr>
            <w:tcW w:w="1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4AE57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8118D8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A2FD1E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56241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274948" w14:textId="0149CF7F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3317B0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47C4C" w:rsidRPr="00D47C4C" w14:paraId="37B386C2" w14:textId="77777777" w:rsidTr="00D47C4C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E5DDF9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F816CA0" w14:textId="724965F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793,625.00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33127CB" w14:textId="4617C3B7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FD05F46" w14:textId="69EEEC39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7E3FA09" w14:textId="43A3D30E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FFC23FA" w14:textId="7EE4AA6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793,625.00 </w:t>
            </w:r>
          </w:p>
        </w:tc>
      </w:tr>
      <w:tr w:rsidR="00D47C4C" w:rsidRPr="00D47C4C" w14:paraId="425E0266" w14:textId="77777777" w:rsidTr="00D47C4C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459272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1014AD" w14:textId="256A4E52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793,625.00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0F61508" w14:textId="2AE0CDA6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B9181D6" w14:textId="4924BAD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82ED5D8" w14:textId="6CB57A0F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CE96E9" w14:textId="091883CB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793,625.00 </w:t>
            </w:r>
          </w:p>
        </w:tc>
      </w:tr>
      <w:tr w:rsidR="00D47C4C" w:rsidRPr="00D47C4C" w14:paraId="6563090A" w14:textId="77777777" w:rsidTr="00D47C4C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EEBA8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F35563" w14:textId="0C84BD6B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793,625.00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1F8A23" w14:textId="077576CC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032C05" w14:textId="750D048F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BC8459" w14:textId="066ADE40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2E1D94" w14:textId="4CDCF346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793,625.00 </w:t>
            </w:r>
          </w:p>
        </w:tc>
      </w:tr>
      <w:tr w:rsidR="00D47C4C" w:rsidRPr="00D47C4C" w14:paraId="2D5D83BD" w14:textId="77777777" w:rsidTr="00D47C4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BEB1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6206" w14:textId="77777777" w:rsidR="00D47C4C" w:rsidRPr="00D47C4C" w:rsidRDefault="00D47C4C" w:rsidP="00D47C4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2BDD" w14:textId="536D9CD8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793,625.00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9327" w14:textId="231B9E87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1F27" w14:textId="369B0379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E8CC" w14:textId="0B9A1A3F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947A" w14:textId="31ED8D13" w:rsidR="00D47C4C" w:rsidRPr="00D47C4C" w:rsidRDefault="00D47C4C" w:rsidP="00D47C4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7C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793,625.00 </w:t>
            </w:r>
          </w:p>
        </w:tc>
      </w:tr>
    </w:tbl>
    <w:p w14:paraId="7A85718D" w14:textId="42B12E84" w:rsidR="00CE3C91" w:rsidRPr="005F5B98" w:rsidRDefault="00AC51CE" w:rsidP="005F5B9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47C4C">
        <w:rPr>
          <w:rFonts w:ascii="Arial" w:eastAsia="Arial" w:hAnsi="Arial" w:cs="Arial"/>
          <w:i/>
          <w:color w:val="0070C0"/>
          <w:sz w:val="16"/>
        </w:rPr>
        <w:t>CALABARZON</w:t>
      </w:r>
    </w:p>
    <w:p w14:paraId="6A2E2421" w14:textId="77777777" w:rsidR="005F5B98" w:rsidRDefault="005F5B98" w:rsidP="005227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27D378A6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47C4C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33025D9D" w:rsidR="001E6399" w:rsidRPr="00266326" w:rsidRDefault="00D47C4C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</w:t>
            </w:r>
            <w:r w:rsidR="00266326"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mber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591C9" w14:textId="77777777" w:rsidR="00D47C4C" w:rsidRPr="00D47C4C" w:rsidRDefault="00DC71BD" w:rsidP="00D47C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D47C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CALABARZON submitted their </w:t>
            </w:r>
            <w:r w:rsidR="00D47C4C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  <w:p w14:paraId="102EA2FD" w14:textId="77777777" w:rsidR="00D47C4C" w:rsidRDefault="00D47C4C" w:rsidP="00D47C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47C4C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mobilized and deployed the Rapid Damage Assessment and Needs Analysis (RDANA) of the Regional Quick Response Team to assess and identify the immediate needs of the affected families.</w:t>
            </w:r>
          </w:p>
          <w:p w14:paraId="7B4A18F1" w14:textId="623CF77C" w:rsidR="00D47C4C" w:rsidRDefault="00D47C4C" w:rsidP="00D47C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47C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CALABARZON thru the Disaster Response Management Division (DRMD) coordinated with CSWDO of Bacoor City throughout the operation. DRMD also maintained </w:t>
            </w:r>
            <w:r w:rsidR="00C936DA">
              <w:rPr>
                <w:rFonts w:ascii="Arial" w:eastAsia="Arial" w:hAnsi="Arial" w:cs="Arial"/>
                <w:color w:val="0070C0"/>
                <w:sz w:val="20"/>
                <w:szCs w:val="24"/>
              </w:rPr>
              <w:t>keen</w:t>
            </w:r>
            <w:r w:rsidRPr="00D47C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coordination with the response agencies of the Local Disaster Risk Reduction and Management Council (LDRRMC).</w:t>
            </w:r>
          </w:p>
          <w:p w14:paraId="12FE408B" w14:textId="15D730F3" w:rsidR="00D47C4C" w:rsidRPr="00D47C4C" w:rsidRDefault="00D47C4C" w:rsidP="00D47C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47C4C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CALABARZON DRMD provided technical assistance to the CSWDO on the management of the needs of the affected families.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0F72E30D" w14:textId="44DA20B1" w:rsidR="00D811BC" w:rsidRDefault="00D47C4C" w:rsidP="00DC7BB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A751E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CALABARZON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6F69A8B2" w14:textId="77777777" w:rsidR="00D47C4C" w:rsidRPr="000E28BD" w:rsidRDefault="00D47C4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92C4608" w:rsidR="003616B6" w:rsidRPr="000E28BD" w:rsidRDefault="00D47C4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7F69A8FB" w:rsidR="00D811BC" w:rsidRPr="000E28BD" w:rsidRDefault="00C936D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149BBD3C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0B8B" w14:textId="77777777" w:rsidR="008451EC" w:rsidRDefault="008451EC">
      <w:pPr>
        <w:spacing w:after="0" w:line="240" w:lineRule="auto"/>
      </w:pPr>
      <w:r>
        <w:separator/>
      </w:r>
    </w:p>
  </w:endnote>
  <w:endnote w:type="continuationSeparator" w:id="0">
    <w:p w14:paraId="037FB98F" w14:textId="77777777" w:rsidR="008451EC" w:rsidRDefault="0084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53A77641" w:rsidR="00B75DA9" w:rsidRPr="001F2278" w:rsidRDefault="0082655B" w:rsidP="00FB6A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FB6A1D" w:rsidRPr="00FB6A1D">
      <w:rPr>
        <w:rFonts w:ascii="Arial" w:eastAsia="Arial" w:hAnsi="Arial" w:cs="Arial"/>
        <w:sz w:val="12"/>
        <w:szCs w:val="18"/>
      </w:rPr>
      <w:t>DSWD DROMIC Report on the Fire Incident in Barangays Alima and Sineguelasan, Bacoor City, Cavite</w:t>
    </w:r>
    <w:r w:rsidR="00FB6A1D">
      <w:rPr>
        <w:rFonts w:ascii="Arial" w:eastAsia="Arial" w:hAnsi="Arial" w:cs="Arial"/>
        <w:sz w:val="12"/>
        <w:szCs w:val="18"/>
      </w:rPr>
      <w:t xml:space="preserve"> </w:t>
    </w:r>
    <w:r w:rsidR="00FB6A1D" w:rsidRPr="00FB6A1D">
      <w:rPr>
        <w:rFonts w:ascii="Arial" w:eastAsia="Arial" w:hAnsi="Arial" w:cs="Arial"/>
        <w:sz w:val="12"/>
        <w:szCs w:val="18"/>
      </w:rPr>
      <w:t>05 November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363D" w14:textId="77777777" w:rsidR="008451EC" w:rsidRDefault="008451EC">
      <w:pPr>
        <w:spacing w:after="0" w:line="240" w:lineRule="auto"/>
      </w:pPr>
      <w:r>
        <w:separator/>
      </w:r>
    </w:p>
  </w:footnote>
  <w:footnote w:type="continuationSeparator" w:id="0">
    <w:p w14:paraId="0D527864" w14:textId="77777777" w:rsidR="008451EC" w:rsidRDefault="0084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35A5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1DE8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451EC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51E2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1A5C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36DA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47C4C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6A1D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6D80-92DD-4D03-BA26-4107435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Clarrie Mae A. Castillo</cp:lastModifiedBy>
  <cp:revision>5</cp:revision>
  <dcterms:created xsi:type="dcterms:W3CDTF">2020-11-04T10:23:00Z</dcterms:created>
  <dcterms:modified xsi:type="dcterms:W3CDTF">2020-11-05T04:01:00Z</dcterms:modified>
</cp:coreProperties>
</file>