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635237AD" w:rsidR="00000CC0" w:rsidRPr="005A135C" w:rsidRDefault="00400D54" w:rsidP="00EB0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9E2634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6833DA">
        <w:rPr>
          <w:rFonts w:ascii="Arial" w:eastAsia="Arial" w:hAnsi="Arial" w:cs="Arial"/>
          <w:b/>
          <w:sz w:val="32"/>
          <w:szCs w:val="24"/>
        </w:rPr>
        <w:t>Region VI</w:t>
      </w:r>
    </w:p>
    <w:p w14:paraId="106EECC5" w14:textId="0CDEC09D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9E2634">
        <w:rPr>
          <w:rFonts w:ascii="Arial" w:eastAsia="Arial" w:hAnsi="Arial" w:cs="Arial"/>
          <w:sz w:val="24"/>
          <w:szCs w:val="24"/>
        </w:rPr>
        <w:t>12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36F94E99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42838">
        <w:rPr>
          <w:rFonts w:ascii="Arial" w:eastAsia="Arial" w:hAnsi="Arial" w:cs="Arial"/>
          <w:sz w:val="24"/>
          <w:szCs w:val="24"/>
        </w:rPr>
        <w:t>02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the LPA brought light to moderate with at times heavy rain showers over Capiz and </w:t>
      </w:r>
      <w:r w:rsidR="001D47DB">
        <w:rPr>
          <w:rFonts w:ascii="Arial" w:eastAsia="Arial" w:hAnsi="Arial" w:cs="Arial"/>
          <w:sz w:val="24"/>
          <w:szCs w:val="24"/>
        </w:rPr>
        <w:t xml:space="preserve">Northern Iloilo </w:t>
      </w:r>
      <w:r w:rsidR="006833DA">
        <w:rPr>
          <w:rFonts w:ascii="Arial" w:eastAsia="Arial" w:hAnsi="Arial" w:cs="Arial"/>
          <w:sz w:val="24"/>
          <w:szCs w:val="24"/>
        </w:rPr>
        <w:t xml:space="preserve">resulting to excessive flooding in several municipalities in the </w:t>
      </w:r>
      <w:r w:rsidR="001D47DB">
        <w:rPr>
          <w:rFonts w:ascii="Arial" w:eastAsia="Arial" w:hAnsi="Arial" w:cs="Arial"/>
          <w:sz w:val="24"/>
          <w:szCs w:val="24"/>
        </w:rPr>
        <w:t xml:space="preserve">said </w:t>
      </w:r>
      <w:r w:rsidR="006833DA">
        <w:rPr>
          <w:rFonts w:ascii="Arial" w:eastAsia="Arial" w:hAnsi="Arial" w:cs="Arial"/>
          <w:sz w:val="24"/>
          <w:szCs w:val="24"/>
        </w:rPr>
        <w:t>provinces</w:t>
      </w:r>
      <w:r w:rsidR="001D47DB"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16CC503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9E2634" w:rsidRP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7,302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9E2634" w:rsidRP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31,982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1D47D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E263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1D47DB" w:rsidRPr="009E2634">
        <w:rPr>
          <w:rFonts w:ascii="Arial" w:eastAsia="Arial" w:hAnsi="Arial" w:cs="Arial"/>
          <w:b/>
          <w:sz w:val="24"/>
          <w:szCs w:val="24"/>
        </w:rPr>
        <w:t>Region VI</w:t>
      </w:r>
      <w:r w:rsidR="00D47079" w:rsidRPr="009E26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9E2634" w:rsidRPr="009E2634" w14:paraId="4D97F5A1" w14:textId="77777777" w:rsidTr="009E2634">
        <w:trPr>
          <w:trHeight w:val="104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40205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5F795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2634" w:rsidRPr="009E2634" w14:paraId="02B13C3B" w14:textId="77777777" w:rsidTr="009E2634">
        <w:trPr>
          <w:trHeight w:val="58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7687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6EDC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7D229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3F9C1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2634" w:rsidRPr="009E2634" w14:paraId="6A359F5F" w14:textId="77777777" w:rsidTr="009E263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FFFA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04772" w14:textId="5EBE086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1B1B5" w14:textId="6E8676C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7,302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EB7008" w14:textId="10B3914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31,982 </w:t>
            </w:r>
          </w:p>
        </w:tc>
      </w:tr>
      <w:tr w:rsidR="009E2634" w:rsidRPr="009E2634" w14:paraId="13F38282" w14:textId="77777777" w:rsidTr="009E263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2FEFC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D9CB4" w14:textId="59FEDB3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153D8" w14:textId="4AC3332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7,302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A76FD" w14:textId="7F5D7BA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31,982 </w:t>
            </w:r>
          </w:p>
        </w:tc>
      </w:tr>
      <w:tr w:rsidR="009E2634" w:rsidRPr="009E2634" w14:paraId="029EB7C6" w14:textId="77777777" w:rsidTr="009E263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26A5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6D038" w14:textId="4120A17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EBFCD" w14:textId="24B31D8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0CB94" w14:textId="075C375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17,962 </w:t>
            </w:r>
          </w:p>
        </w:tc>
      </w:tr>
      <w:tr w:rsidR="009E2634" w:rsidRPr="009E2634" w14:paraId="36532954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EA9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7D8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3FEB" w14:textId="71B5E8B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E3BA" w14:textId="58FF8DE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29BD" w14:textId="6A9EB4D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</w:tr>
      <w:tr w:rsidR="009E2634" w:rsidRPr="009E2634" w14:paraId="3BD4B1C5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5441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337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9D79" w14:textId="12ED54E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EFBE" w14:textId="535A69F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1C20" w14:textId="46A08D9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4,872 </w:t>
            </w:r>
          </w:p>
        </w:tc>
      </w:tr>
      <w:tr w:rsidR="009E2634" w:rsidRPr="009E2634" w14:paraId="3555AB88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4AA9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E68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528" w14:textId="2CC99A5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54C4" w14:textId="4772411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B6C1" w14:textId="73A7DF9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1,929 </w:t>
            </w:r>
          </w:p>
        </w:tc>
      </w:tr>
      <w:tr w:rsidR="009E2634" w:rsidRPr="009E2634" w14:paraId="78C8DD9D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25AB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422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4DDB" w14:textId="1EC1A03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830E" w14:textId="506E3EC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1,799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8847" w14:textId="5E760B9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8,230 </w:t>
            </w:r>
          </w:p>
        </w:tc>
      </w:tr>
      <w:tr w:rsidR="009E2634" w:rsidRPr="009E2634" w14:paraId="2EA5DD32" w14:textId="77777777" w:rsidTr="009E263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AB75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930D7" w14:textId="7C03B4A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3A1F1" w14:textId="475229D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85B5C" w14:textId="7CD93A3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14,020 </w:t>
            </w:r>
          </w:p>
        </w:tc>
      </w:tr>
      <w:tr w:rsidR="009E2634" w:rsidRPr="009E2634" w14:paraId="475F632F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39BE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FDD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9319" w14:textId="36A6128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DAE8" w14:textId="6270163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D24A" w14:textId="452B116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2,485 </w:t>
            </w:r>
          </w:p>
        </w:tc>
      </w:tr>
      <w:tr w:rsidR="009E2634" w:rsidRPr="009E2634" w14:paraId="5A1EAAA0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CD71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79F5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809A" w14:textId="2058652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4A32" w14:textId="1F15DAC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2720" w14:textId="361CB0C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1,395 </w:t>
            </w:r>
          </w:p>
        </w:tc>
      </w:tr>
      <w:tr w:rsidR="009E2634" w:rsidRPr="009E2634" w14:paraId="4E3ABD52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983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3DFD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DBBE" w14:textId="71690A1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D0C7" w14:textId="6557F08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4A71" w14:textId="524CA9E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5,140 </w:t>
            </w:r>
          </w:p>
        </w:tc>
      </w:tr>
      <w:tr w:rsidR="009E2634" w:rsidRPr="009E2634" w14:paraId="6F784B4D" w14:textId="77777777" w:rsidTr="009E263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DDEC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AED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2DD3" w14:textId="7475793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D3E4" w14:textId="18CD85C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9C50" w14:textId="76D7D7B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 </w:t>
            </w:r>
          </w:p>
        </w:tc>
      </w:tr>
    </w:tbl>
    <w:p w14:paraId="7D3A13AC" w14:textId="79D43CD7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persons in Ma-ayon is due to 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4CBF936C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1D47DB" w:rsidRDefault="001D47DB" w:rsidP="001D47D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08F8A177" w:rsidR="00F47AB8" w:rsidRPr="001D47DB" w:rsidRDefault="0062558F" w:rsidP="001D47DB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7DB">
        <w:rPr>
          <w:rFonts w:ascii="Arial" w:eastAsia="Arial" w:hAnsi="Arial" w:cs="Arial"/>
          <w:sz w:val="24"/>
          <w:szCs w:val="24"/>
        </w:rPr>
        <w:t>A total of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433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9E2634">
        <w:rPr>
          <w:rFonts w:ascii="Arial" w:eastAsia="Arial" w:hAnsi="Arial" w:cs="Arial"/>
          <w:b/>
          <w:color w:val="0070C0"/>
          <w:sz w:val="24"/>
          <w:szCs w:val="24"/>
        </w:rPr>
        <w:t>2,045</w:t>
      </w:r>
      <w:r w:rsidR="00901C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in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E263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47AB8" w:rsidRDefault="008C43F4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0" w:type="pct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3572"/>
        <w:gridCol w:w="916"/>
        <w:gridCol w:w="918"/>
        <w:gridCol w:w="916"/>
        <w:gridCol w:w="918"/>
        <w:gridCol w:w="918"/>
        <w:gridCol w:w="911"/>
      </w:tblGrid>
      <w:tr w:rsidR="009E2634" w:rsidRPr="009E2634" w14:paraId="02F0D1DD" w14:textId="77777777" w:rsidTr="009E2634">
        <w:trPr>
          <w:trHeight w:val="20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ABA30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9AC7F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F743CD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E2634" w:rsidRPr="009E2634" w14:paraId="2FAFFEAF" w14:textId="77777777" w:rsidTr="009E2634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BC3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4E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CA51C7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E2634" w:rsidRPr="009E2634" w14:paraId="37F1EF82" w14:textId="77777777" w:rsidTr="009E2634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CA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5F2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0BB1B1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AC8834" w14:textId="623620C4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2634" w:rsidRPr="009E2634" w14:paraId="4C7F7907" w14:textId="77777777" w:rsidTr="009E2634">
        <w:trPr>
          <w:trHeight w:val="20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260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86495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B8642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E7D67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1B249D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587A4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577DBD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2634" w:rsidRPr="009E2634" w14:paraId="2914000D" w14:textId="77777777" w:rsidTr="009E2634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683A8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9C793" w14:textId="72302BB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A2246" w14:textId="5FC0F49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1C965" w14:textId="78E6EB1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80C2B" w14:textId="2F0EF4F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7BDB7" w14:textId="68BF35C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2,045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5E521" w14:textId="4AE4706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4A3E3F0F" w14:textId="77777777" w:rsidTr="009E2634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52BD1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E5CA1" w14:textId="7A3C1E3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44476" w14:textId="4D6EC48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330A5" w14:textId="4FF2425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DF23F" w14:textId="33A7601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33F97" w14:textId="66C9B4E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2,045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B627D" w14:textId="7C0F79C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5F76BA62" w14:textId="77777777" w:rsidTr="009E2634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600A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32D0D" w14:textId="2D4D61F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442A3" w14:textId="7C60A71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D24E2" w14:textId="2B7415E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CB862" w14:textId="743ED1A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A6FFA" w14:textId="7D04442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6A4A2" w14:textId="7301AEE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1CF95B3C" w14:textId="77777777" w:rsidTr="009E263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9322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888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DA78" w14:textId="2F9FDF9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FA3F" w14:textId="556C2E2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15C2" w14:textId="497A254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8944" w14:textId="2E38305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F515" w14:textId="6F9670E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F861" w14:textId="5D32090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6B8B917C" w14:textId="77777777" w:rsidTr="009E263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D6E7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80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1CD1" w14:textId="5D38132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4A33" w14:textId="181EFBD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8348" w14:textId="65E95AC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4BA1" w14:textId="2EA2C47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3DAC" w14:textId="4A17530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D5AF" w14:textId="54BAAD3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57A45EBD" w14:textId="77777777" w:rsidTr="009E263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92600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B3D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A016" w14:textId="34E1AE7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3E31" w14:textId="03A649B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9B3E" w14:textId="5A5E6EA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7145" w14:textId="77C2067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0C14" w14:textId="7FD041F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34F4" w14:textId="4B0779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71601BCC" w14:textId="77777777" w:rsidTr="009E2634">
        <w:trPr>
          <w:trHeight w:val="20"/>
        </w:trPr>
        <w:tc>
          <w:tcPr>
            <w:tcW w:w="20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35A4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BBCB8" w14:textId="7CCF7D7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3D801" w14:textId="7F7F64C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26D2F" w14:textId="12526AB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3A793" w14:textId="47902A3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083D9" w14:textId="49FA331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1,541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F06AE" w14:textId="5450D4C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4746A8AB" w14:textId="77777777" w:rsidTr="009E263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7521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85F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0CE2" w14:textId="0B63C14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0900" w14:textId="2E1E474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291A" w14:textId="6D061FA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BE10" w14:textId="27EE5DA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29C7" w14:textId="1E3EF7E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1,395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9973" w14:textId="340DB71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40F96F9E" w14:textId="77777777" w:rsidTr="009E263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846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67C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DB7E" w14:textId="1CBA01C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2BF8" w14:textId="186AF2A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8F99" w14:textId="10B5A9E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DDDD" w14:textId="421010A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35BD" w14:textId="5DB9403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4DF5" w14:textId="04844C3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901C53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1E289DBD" w14:textId="0928E598" w:rsidR="009E2634" w:rsidRPr="002177EB" w:rsidRDefault="009E2634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3CC14E" w14:textId="6FA4C805" w:rsidR="00901C53" w:rsidRPr="00901C53" w:rsidRDefault="00901C53" w:rsidP="00901C53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901C5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901C53">
        <w:rPr>
          <w:rFonts w:ascii="Arial" w:eastAsia="Arial" w:hAnsi="Arial" w:cs="Arial"/>
          <w:sz w:val="24"/>
          <w:szCs w:val="24"/>
        </w:rPr>
        <w:t xml:space="preserve"> </w:t>
      </w:r>
    </w:p>
    <w:p w14:paraId="2C4F4439" w14:textId="2633945E" w:rsidR="00901C53" w:rsidRPr="00EB0DF9" w:rsidRDefault="00901C53" w:rsidP="00EB0DF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7DB">
        <w:rPr>
          <w:rFonts w:ascii="Arial" w:eastAsia="Arial" w:hAnsi="Arial" w:cs="Arial"/>
          <w:sz w:val="24"/>
          <w:szCs w:val="24"/>
        </w:rPr>
        <w:t>A total of</w:t>
      </w:r>
      <w:r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9E2634" w:rsidRP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1,310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9E2634" w:rsidRPr="009E2634">
        <w:rPr>
          <w:rFonts w:ascii="Arial" w:eastAsia="Arial" w:hAnsi="Arial" w:cs="Arial"/>
          <w:b/>
          <w:color w:val="0070C0"/>
          <w:sz w:val="24"/>
          <w:szCs w:val="24"/>
        </w:rPr>
        <w:t xml:space="preserve">6,464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temporarily stayed with their relatives and/or friends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7F9012A" w14:textId="337DFCA3" w:rsidR="00901C53" w:rsidRPr="00F47AB8" w:rsidRDefault="00901C53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3.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9E2634" w:rsidRPr="009E2634" w14:paraId="2BEC542B" w14:textId="77777777" w:rsidTr="009E2634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C30F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0021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E2634" w:rsidRPr="009E2634" w14:paraId="359308CE" w14:textId="77777777" w:rsidTr="009E26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B11E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4887E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E2634" w:rsidRPr="009E2634" w14:paraId="0ACE2C38" w14:textId="77777777" w:rsidTr="009E26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96C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366F9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63D42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2634" w:rsidRPr="009E2634" w14:paraId="2ADE1279" w14:textId="77777777" w:rsidTr="009E26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0A3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2C418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DA34C0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2694B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254BE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2634" w:rsidRPr="009E2634" w14:paraId="468B12D4" w14:textId="77777777" w:rsidTr="009E26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7FC40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F515DA" w14:textId="196D0FD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543240" w14:textId="04540DC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883DC" w14:textId="2DDA2BB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77B1E" w14:textId="3072BA9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1746B379" w14:textId="77777777" w:rsidTr="009E26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5E1C4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F40F6" w14:textId="591396C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BD231" w14:textId="14B9B48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7DD1" w14:textId="02AF7E4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6707F" w14:textId="6176B34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406FEEB4" w14:textId="77777777" w:rsidTr="009E26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FDBB0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BA14B" w14:textId="6DFFA16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7701F" w14:textId="719F197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51FBE" w14:textId="3FFD15B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F84A1" w14:textId="041B02C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42F90710" w14:textId="77777777" w:rsidTr="009E263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53D8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C24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1440" w14:textId="2276E51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E21F" w14:textId="36C7AEA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974D" w14:textId="705D518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4F39" w14:textId="34A9A72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672AB4CE" w14:textId="77777777" w:rsidTr="009E263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3FB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65D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24B9" w14:textId="72D009A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C6D1" w14:textId="166CF84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1233" w14:textId="3A42ACF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F2F0" w14:textId="6FC98BC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59D82BF8" w14:textId="77777777" w:rsidTr="009E263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37F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3B7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5A0F" w14:textId="5B08773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BC86" w14:textId="201C393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6109" w14:textId="384F206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4F97" w14:textId="63F2130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E2634" w:rsidRPr="009E2634" w14:paraId="1DACDB14" w14:textId="77777777" w:rsidTr="009E26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BBA4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75426" w14:textId="1E162E2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3FB6A" w14:textId="09F8E62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0E189" w14:textId="6BD2541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8F7F3" w14:textId="352C8EE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2634" w:rsidRPr="009E2634" w14:paraId="006774DC" w14:textId="77777777" w:rsidTr="009E263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D51C8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0C0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F5A9" w14:textId="235149C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FFB4" w14:textId="0B39B53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75C7" w14:textId="03E6973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47E1" w14:textId="4892AD1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0104AC3" w14:textId="6BEDAF95" w:rsidR="00901C53" w:rsidRDefault="00901C53" w:rsidP="009E2634">
      <w:pPr>
        <w:spacing w:after="0" w:line="240" w:lineRule="auto"/>
        <w:ind w:left="720" w:firstLine="48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9E2634" w:rsidRP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Previously reported 1,439 families and 5,140 persons in San Dionisio apparently did not leave their respective houses.</w:t>
      </w:r>
      <w:r w:rsidR="009E263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Hence, the decrease in the number of displaced.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FFBB75" w14:textId="37FC5E57" w:rsidR="0062558F" w:rsidRDefault="00901C53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1CC6A80B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0281C771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E2634" w:rsidRP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1,878,712.00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E2634" w:rsidRP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1,245,240.00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E2634" w:rsidRP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630,472.00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E2634" w:rsidRP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3,000.00 </w:t>
      </w:r>
      <w:r w:rsidR="009E2634" w:rsidRPr="009E2634">
        <w:rPr>
          <w:rFonts w:ascii="Arial" w:hAnsi="Arial" w:cs="Arial"/>
          <w:bCs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Private Partners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(see Table 4).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284BF1A6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956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709"/>
        <w:gridCol w:w="1291"/>
        <w:gridCol w:w="1068"/>
        <w:gridCol w:w="846"/>
        <w:gridCol w:w="956"/>
        <w:gridCol w:w="1578"/>
      </w:tblGrid>
      <w:tr w:rsidR="009E2634" w:rsidRPr="009E2634" w14:paraId="797980A2" w14:textId="77777777" w:rsidTr="009E2634">
        <w:trPr>
          <w:trHeight w:val="58"/>
        </w:trPr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D2905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F963E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E2634" w:rsidRPr="009E2634" w14:paraId="49502D82" w14:textId="77777777" w:rsidTr="009E2634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73B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B36E6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F06C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33A2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6B1022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6CF01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E2634" w:rsidRPr="009E2634" w14:paraId="77543A70" w14:textId="77777777" w:rsidTr="009E263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980F0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C43AB2" w14:textId="5569C60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CB1C1" w14:textId="0C69E3D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630,472.00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0C12F5" w14:textId="6E31D41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3FEC4F" w14:textId="5C04D99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99274" w14:textId="183AFA4B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1,878,712.00 </w:t>
            </w:r>
          </w:p>
        </w:tc>
      </w:tr>
      <w:tr w:rsidR="009E2634" w:rsidRPr="009E2634" w14:paraId="11B204FE" w14:textId="77777777" w:rsidTr="009E263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52D3C5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31ACA" w14:textId="62F2F08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77259" w14:textId="39139E5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630,472.00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ABEA9" w14:textId="432679E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13CD3" w14:textId="4A71624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745EB" w14:textId="163DD65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1,878,712.00 </w:t>
            </w:r>
          </w:p>
        </w:tc>
      </w:tr>
      <w:tr w:rsidR="009E2634" w:rsidRPr="009E2634" w14:paraId="33DB0D32" w14:textId="77777777" w:rsidTr="009E263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635B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7F5EA" w14:textId="49DC61D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E7A7" w14:textId="055160D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0BCC0" w14:textId="556288A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C561" w14:textId="0D12027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1D37B" w14:textId="023A4A92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9E2634" w:rsidRPr="009E2634" w14:paraId="4FFA2260" w14:textId="77777777" w:rsidTr="009E26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0636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37A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138E" w14:textId="4516ACA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FB2A" w14:textId="37AF002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4629" w14:textId="2B8462C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6CD0" w14:textId="36ADAE4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19D8" w14:textId="0CD5217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9E2634" w:rsidRPr="009E2634" w14:paraId="5BD1516E" w14:textId="77777777" w:rsidTr="009E26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58B79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8F8D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F1F4" w14:textId="2587517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26C3" w14:textId="41FD198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C9E7" w14:textId="39FF7DE8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6C32" w14:textId="27B016E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ACBB" w14:textId="6BB65D0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9E2634" w:rsidRPr="009E2634" w14:paraId="1FFB9743" w14:textId="77777777" w:rsidTr="009E2634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DDE74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BB46C" w14:textId="668B4DD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57A7C" w14:textId="1BE6E470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630,472.00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8CC6D" w14:textId="141E6A4C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74239" w14:textId="0C73EA07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44944" w14:textId="4D8A99C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1,158,712.00 </w:t>
            </w:r>
          </w:p>
        </w:tc>
      </w:tr>
      <w:tr w:rsidR="009E2634" w:rsidRPr="009E2634" w14:paraId="5610C805" w14:textId="77777777" w:rsidTr="009E26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6ABD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7ABF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E634" w14:textId="1006B5C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132F" w14:textId="735B9C5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143,112.00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D80D" w14:textId="08C145CD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4CBB" w14:textId="4B27D511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6BE3" w14:textId="39E9ED3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146,112.00 </w:t>
            </w:r>
          </w:p>
        </w:tc>
      </w:tr>
      <w:tr w:rsidR="009E2634" w:rsidRPr="009E2634" w14:paraId="7A946975" w14:textId="77777777" w:rsidTr="009E26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388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EB7C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AB1F" w14:textId="062D52D3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8B24" w14:textId="73986DB9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DDD6" w14:textId="0EC3799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3B06" w14:textId="23A35DDA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3EAE" w14:textId="7B64480E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575,240.00 </w:t>
            </w:r>
          </w:p>
        </w:tc>
      </w:tr>
      <w:tr w:rsidR="009E2634" w:rsidRPr="009E2634" w14:paraId="240201FE" w14:textId="77777777" w:rsidTr="009E26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9BF3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93A" w14:textId="77777777" w:rsidR="009E2634" w:rsidRPr="009E2634" w:rsidRDefault="009E2634" w:rsidP="009E26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48A3" w14:textId="2D010204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9BDD" w14:textId="55D9B43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307F" w14:textId="692E5B06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4F5A" w14:textId="43DF567F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1A05" w14:textId="7292D7D5" w:rsidR="009E2634" w:rsidRPr="009E2634" w:rsidRDefault="009E2634" w:rsidP="009E26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26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437,360.00 </w:t>
            </w:r>
          </w:p>
        </w:tc>
      </w:tr>
    </w:tbl>
    <w:p w14:paraId="65545A2B" w14:textId="6864C787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CC3C0A4" w:rsidR="00985089" w:rsidRPr="006E2A89" w:rsidRDefault="002177EB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E263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Pr="00EB0DF9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3839EB45" w14:textId="3FAFB4B8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E9BC1C0" w:rsidR="004C4D79" w:rsidRPr="009E2634" w:rsidRDefault="002177EB" w:rsidP="002177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9E2634"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62558F" w:rsidRPr="009E2634">
              <w:rPr>
                <w:rFonts w:ascii="Arial" w:eastAsia="Arial" w:hAnsi="Arial" w:cs="Arial"/>
                <w:sz w:val="20"/>
                <w:szCs w:val="24"/>
              </w:rPr>
              <w:t>Dec</w:t>
            </w:r>
            <w:r w:rsidR="00C52BCC" w:rsidRPr="009E2634">
              <w:rPr>
                <w:rFonts w:ascii="Arial" w:eastAsia="Arial" w:hAnsi="Arial" w:cs="Arial"/>
                <w:sz w:val="20"/>
                <w:szCs w:val="24"/>
              </w:rPr>
              <w:t>ember 2020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38BAF" w14:textId="77777777" w:rsidR="002177EB" w:rsidRPr="009E2634" w:rsidRDefault="002177EB" w:rsidP="002177E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9E2634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Replacement of pre-positioned Family Food Packs to strategic areas in the region.</w:t>
            </w:r>
          </w:p>
          <w:p w14:paraId="1CDEAA12" w14:textId="6A6809B2" w:rsidR="0040632B" w:rsidRPr="009E2634" w:rsidRDefault="002177EB" w:rsidP="002177E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9E2634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VI conducts continuous repacking of FFPs at the regional warehouse.</w:t>
            </w:r>
            <w:r w:rsidR="00196D6D" w:rsidRPr="009E2634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1B0386D" w14:textId="4DF334CA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Pr="00EB0DF9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F1AD7AF" w:rsidR="00C9090C" w:rsidRPr="00EC5F21" w:rsidRDefault="002177E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35ED6185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bookmarkStart w:id="1" w:name="_GoBack"/>
      <w:bookmarkEnd w:id="1"/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8ED1" w14:textId="77777777" w:rsidR="00337FB1" w:rsidRDefault="00337FB1">
      <w:pPr>
        <w:spacing w:after="0" w:line="240" w:lineRule="auto"/>
      </w:pPr>
      <w:r>
        <w:separator/>
      </w:r>
    </w:p>
  </w:endnote>
  <w:endnote w:type="continuationSeparator" w:id="0">
    <w:p w14:paraId="6E6ED365" w14:textId="77777777" w:rsidR="00337FB1" w:rsidRDefault="0033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47AA45A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B0DF9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B0DF9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2634">
      <w:rPr>
        <w:rFonts w:ascii="Arial" w:eastAsia="Arial" w:hAnsi="Arial" w:cs="Arial"/>
        <w:sz w:val="14"/>
        <w:szCs w:val="14"/>
      </w:rPr>
      <w:t>DSWD DROMIC Report #2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2177EB">
      <w:rPr>
        <w:rFonts w:ascii="Arial" w:eastAsia="Arial" w:hAnsi="Arial" w:cs="Arial"/>
        <w:sz w:val="14"/>
        <w:szCs w:val="14"/>
      </w:rPr>
      <w:t>Region VI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9E2634">
      <w:rPr>
        <w:rFonts w:ascii="Arial" w:eastAsia="Arial" w:hAnsi="Arial" w:cs="Arial"/>
        <w:sz w:val="14"/>
        <w:szCs w:val="14"/>
      </w:rPr>
      <w:t>12</w:t>
    </w:r>
    <w:r w:rsidR="00196D6D">
      <w:rPr>
        <w:rFonts w:ascii="Arial" w:eastAsia="Arial" w:hAnsi="Arial" w:cs="Arial"/>
        <w:sz w:val="14"/>
        <w:szCs w:val="14"/>
      </w:rPr>
      <w:t xml:space="preserve">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EFA9" w14:textId="77777777" w:rsidR="00337FB1" w:rsidRDefault="00337FB1">
      <w:pPr>
        <w:spacing w:after="0" w:line="240" w:lineRule="auto"/>
      </w:pPr>
      <w:r>
        <w:separator/>
      </w:r>
    </w:p>
  </w:footnote>
  <w:footnote w:type="continuationSeparator" w:id="0">
    <w:p w14:paraId="3CD4F5F0" w14:textId="77777777" w:rsidR="00337FB1" w:rsidRDefault="0033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6"/>
  </w:num>
  <w:num w:numId="5">
    <w:abstractNumId w:val="17"/>
  </w:num>
  <w:num w:numId="6">
    <w:abstractNumId w:val="24"/>
  </w:num>
  <w:num w:numId="7">
    <w:abstractNumId w:val="14"/>
  </w:num>
  <w:num w:numId="8">
    <w:abstractNumId w:val="28"/>
  </w:num>
  <w:num w:numId="9">
    <w:abstractNumId w:val="12"/>
  </w:num>
  <w:num w:numId="10">
    <w:abstractNumId w:val="23"/>
  </w:num>
  <w:num w:numId="11">
    <w:abstractNumId w:val="30"/>
  </w:num>
  <w:num w:numId="12">
    <w:abstractNumId w:val="22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8"/>
  </w:num>
  <w:num w:numId="18">
    <w:abstractNumId w:val="21"/>
  </w:num>
  <w:num w:numId="19">
    <w:abstractNumId w:val="7"/>
  </w:num>
  <w:num w:numId="20">
    <w:abstractNumId w:val="3"/>
  </w:num>
  <w:num w:numId="21">
    <w:abstractNumId w:val="8"/>
  </w:num>
  <w:num w:numId="22">
    <w:abstractNumId w:val="25"/>
  </w:num>
  <w:num w:numId="23">
    <w:abstractNumId w:val="27"/>
  </w:num>
  <w:num w:numId="24">
    <w:abstractNumId w:val="19"/>
  </w:num>
  <w:num w:numId="25">
    <w:abstractNumId w:val="31"/>
  </w:num>
  <w:num w:numId="26">
    <w:abstractNumId w:val="26"/>
  </w:num>
  <w:num w:numId="27">
    <w:abstractNumId w:val="9"/>
  </w:num>
  <w:num w:numId="28">
    <w:abstractNumId w:val="5"/>
  </w:num>
  <w:num w:numId="29">
    <w:abstractNumId w:val="20"/>
  </w:num>
  <w:num w:numId="30">
    <w:abstractNumId w:val="6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2020-12-12T07:18:00Z</dcterms:created>
  <dcterms:modified xsi:type="dcterms:W3CDTF">2020-12-12T07:18:00Z</dcterms:modified>
</cp:coreProperties>
</file>