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4A9EB0FA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8D26AE">
        <w:rPr>
          <w:rFonts w:ascii="Arial" w:eastAsia="Arial" w:hAnsi="Arial" w:cs="Arial"/>
          <w:b/>
          <w:sz w:val="32"/>
          <w:szCs w:val="24"/>
        </w:rPr>
        <w:t>7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41A22DE0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0</w:t>
      </w:r>
      <w:r w:rsidR="008D26AE">
        <w:rPr>
          <w:rFonts w:ascii="Arial" w:eastAsia="Arial" w:hAnsi="Arial" w:cs="Arial"/>
          <w:sz w:val="24"/>
          <w:szCs w:val="24"/>
        </w:rPr>
        <w:t>9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Ifugao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0A5DA76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96C2B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D33C5C" w:rsidRPr="009877F5">
        <w:rPr>
          <w:rFonts w:ascii="Arial" w:eastAsia="Arial" w:hAnsi="Arial" w:cs="Arial"/>
          <w:b/>
          <w:sz w:val="24"/>
          <w:szCs w:val="24"/>
        </w:rPr>
        <w:t xml:space="preserve">453 </w:t>
      </w:r>
      <w:r w:rsidRPr="009877F5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D33C5C" w:rsidRPr="009877F5">
        <w:rPr>
          <w:rFonts w:ascii="Arial" w:eastAsia="Arial" w:hAnsi="Arial" w:cs="Arial"/>
          <w:b/>
          <w:bCs/>
          <w:sz w:val="24"/>
          <w:szCs w:val="24"/>
        </w:rPr>
        <w:t xml:space="preserve">1,575 </w:t>
      </w:r>
      <w:r w:rsidRPr="009877F5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9877F5">
        <w:rPr>
          <w:rFonts w:ascii="Arial" w:eastAsia="Arial" w:hAnsi="Arial" w:cs="Arial"/>
          <w:b/>
          <w:sz w:val="24"/>
          <w:szCs w:val="24"/>
        </w:rPr>
        <w:t>1</w:t>
      </w:r>
      <w:r w:rsidR="008F309B" w:rsidRPr="009877F5">
        <w:rPr>
          <w:rFonts w:ascii="Arial" w:eastAsia="Arial" w:hAnsi="Arial" w:cs="Arial"/>
          <w:b/>
          <w:sz w:val="24"/>
          <w:szCs w:val="24"/>
        </w:rPr>
        <w:t>6</w:t>
      </w:r>
      <w:r w:rsidR="004015EA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9877F5">
        <w:rPr>
          <w:rFonts w:ascii="Arial" w:eastAsia="Arial" w:hAnsi="Arial" w:cs="Arial"/>
          <w:b/>
          <w:sz w:val="24"/>
          <w:szCs w:val="24"/>
        </w:rPr>
        <w:t>II</w:t>
      </w:r>
      <w:r w:rsidR="00417052" w:rsidRPr="009877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D33C5C" w:rsidRPr="00D33C5C" w14:paraId="6DF14901" w14:textId="77777777" w:rsidTr="00D33C5C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DBDE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B0B6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D33C5C" w:rsidRPr="00D33C5C" w14:paraId="3853DFE9" w14:textId="77777777" w:rsidTr="00D33C5C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444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6EF2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32383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A43A0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33C5C" w:rsidRPr="00D33C5C" w14:paraId="11F8AB7F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33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469A7" w14:textId="1E69AC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5E909" w14:textId="25A3523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9CF0B" w14:textId="026A09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5042D00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D7DA1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66B9C" w14:textId="086F23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B35E9" w14:textId="4A80DF0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FF766" w14:textId="2F42935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6AF73451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A3C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F50E8" w14:textId="58F5B36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F838F" w14:textId="371B7A6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196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F663" w14:textId="222A700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683 </w:t>
            </w:r>
          </w:p>
        </w:tc>
      </w:tr>
      <w:tr w:rsidR="00D33C5C" w:rsidRPr="00D33C5C" w14:paraId="1BE1AB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EE71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F55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C29C" w14:textId="5C87301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BA3" w14:textId="75681A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8232" w14:textId="08A51DB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90 </w:t>
            </w:r>
          </w:p>
        </w:tc>
      </w:tr>
      <w:tr w:rsidR="00D33C5C" w:rsidRPr="00D33C5C" w14:paraId="6712CD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B16D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1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8158" w14:textId="3A4B0EA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E5C3" w14:textId="25EB4DD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26AE" w14:textId="74B6BF4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593 </w:t>
            </w:r>
          </w:p>
        </w:tc>
      </w:tr>
      <w:tr w:rsidR="00D33C5C" w:rsidRPr="00D33C5C" w14:paraId="3F908877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312C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53F86" w14:textId="36E45E3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2FDF5" w14:textId="235264C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404C" w14:textId="5660EA3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D33C5C" w:rsidRPr="00D33C5C" w14:paraId="5F8E8E5D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01A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1944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FAFA" w14:textId="71923CE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2848" w14:textId="60B5B21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155E" w14:textId="279C40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</w:tr>
      <w:tr w:rsidR="00D33C5C" w:rsidRPr="00D33C5C" w14:paraId="78C5DBC4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701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B259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C197" w14:textId="515F9D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613" w14:textId="07C1300F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A96F" w14:textId="46C0109A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D33C5C" w:rsidRPr="00D33C5C" w14:paraId="2055C8F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E33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90E0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A28F" w14:textId="04DFE6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4934" w14:textId="77989D0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007" w14:textId="0C6FC87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</w:tr>
      <w:tr w:rsidR="00D33C5C" w:rsidRPr="00D33C5C" w14:paraId="52839AC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B8AA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AE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5712" w14:textId="2D32802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53E" w14:textId="46CB48F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4DFC" w14:textId="2AA417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</w:tr>
      <w:tr w:rsidR="00D33C5C" w:rsidRPr="00D33C5C" w14:paraId="081471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BE0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1F2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FF80" w14:textId="7F9304F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8D4B" w14:textId="7321DD0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4E22" w14:textId="2038384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143 </w:t>
            </w:r>
          </w:p>
        </w:tc>
      </w:tr>
      <w:tr w:rsidR="00D33C5C" w:rsidRPr="00D33C5C" w14:paraId="0517F937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0EAF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6C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AB11" w14:textId="4C93F70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75CE" w14:textId="7E161E0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3660" w14:textId="063B47A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318 </w:t>
            </w:r>
          </w:p>
        </w:tc>
      </w:tr>
      <w:tr w:rsidR="00D33C5C" w:rsidRPr="00D33C5C" w14:paraId="5306335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05B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3BB10" w14:textId="5A9E56F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FBB4" w14:textId="523EDA9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3E648" w14:textId="69D90C5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D33C5C" w:rsidRPr="00D33C5C" w14:paraId="24FD9C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C92F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831F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113B" w14:textId="573AE62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DD87" w14:textId="666A8B28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666" w14:textId="6872A0F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002242FD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3CC4">
        <w:rPr>
          <w:rFonts w:ascii="Arial" w:eastAsia="Arial" w:hAnsi="Arial" w:cs="Arial"/>
          <w:b/>
          <w:color w:val="0070C0"/>
          <w:sz w:val="24"/>
          <w:szCs w:val="24"/>
        </w:rPr>
        <w:t>seven (</w:t>
      </w:r>
      <w:r w:rsidR="0053773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73CC4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877F5" w:rsidRPr="009877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537733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902FEB" w:rsidRPr="00902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537733">
        <w:rPr>
          <w:rFonts w:ascii="Arial" w:eastAsia="Arial" w:hAnsi="Arial" w:cs="Arial"/>
          <w:sz w:val="24"/>
          <w:szCs w:val="24"/>
        </w:rPr>
        <w:t>at the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37733" w:rsidRPr="00537733">
        <w:rPr>
          <w:rFonts w:ascii="Arial" w:eastAsia="Arial" w:hAnsi="Arial" w:cs="Arial"/>
          <w:b/>
          <w:color w:val="0070C0"/>
          <w:sz w:val="24"/>
          <w:szCs w:val="24"/>
        </w:rPr>
        <w:t>Annafunan</w:t>
      </w:r>
      <w:proofErr w:type="spellEnd"/>
      <w:r w:rsidR="00537733" w:rsidRPr="00537733">
        <w:rPr>
          <w:rFonts w:ascii="Arial" w:eastAsia="Arial" w:hAnsi="Arial" w:cs="Arial"/>
          <w:b/>
          <w:color w:val="0070C0"/>
          <w:sz w:val="24"/>
          <w:szCs w:val="24"/>
        </w:rPr>
        <w:t xml:space="preserve"> East Elementary School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902FE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902FEB">
        <w:rPr>
          <w:rFonts w:ascii="Arial" w:eastAsia="Arial" w:hAnsi="Arial" w:cs="Arial"/>
          <w:b/>
          <w:sz w:val="24"/>
          <w:szCs w:val="24"/>
        </w:rPr>
        <w:t>II</w:t>
      </w:r>
      <w:r w:rsidR="00417052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562"/>
        <w:gridCol w:w="917"/>
        <w:gridCol w:w="918"/>
        <w:gridCol w:w="918"/>
        <w:gridCol w:w="918"/>
        <w:gridCol w:w="918"/>
        <w:gridCol w:w="909"/>
      </w:tblGrid>
      <w:tr w:rsidR="00537733" w:rsidRPr="00537733" w14:paraId="6DC9BF94" w14:textId="77777777" w:rsidTr="00537733">
        <w:trPr>
          <w:trHeight w:val="20"/>
          <w:tblHeader/>
        </w:trPr>
        <w:tc>
          <w:tcPr>
            <w:tcW w:w="2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3D2FB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5BF19F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51237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537733" w:rsidRPr="00537733" w14:paraId="24D86B5C" w14:textId="77777777" w:rsidTr="00537733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7192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1F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55277A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537733" w:rsidRPr="00537733" w14:paraId="336361DE" w14:textId="77777777" w:rsidTr="00537733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5B9A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D8BE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28DAE6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62765B" w14:textId="72A1F86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7733" w:rsidRPr="00537733" w14:paraId="61EE7A45" w14:textId="77777777" w:rsidTr="00537733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4F3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21314A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6CD4F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324BC9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92523B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9971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D56E1F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537733" w:rsidRPr="00537733" w14:paraId="1DB6CF03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3B52B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C9E5CB" w14:textId="565F1C6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19F45" w14:textId="687C2E54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80417" w14:textId="47EA5D62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51C118" w14:textId="5824C38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98E48" w14:textId="208751F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8454D3" w14:textId="51ABB71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38 </w:t>
            </w:r>
          </w:p>
        </w:tc>
      </w:tr>
      <w:tr w:rsidR="00537733" w:rsidRPr="00537733" w14:paraId="48B30076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306DF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6BE2C" w14:textId="61C73BD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A6EFC" w14:textId="0648AB9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07A95" w14:textId="53C188BA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B9972" w14:textId="685AE049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A72CB" w14:textId="7C767C9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B2C16B" w14:textId="44CDE86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38 </w:t>
            </w:r>
          </w:p>
        </w:tc>
      </w:tr>
      <w:tr w:rsidR="00537733" w:rsidRPr="00537733" w14:paraId="1248FFBD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57980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2D3AE" w14:textId="5EFDE0F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F8C30" w14:textId="2C606DE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B5FA" w14:textId="10C685F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EF58F" w14:textId="5A7A7BF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F6290" w14:textId="4400ECF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448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512A3" w14:textId="370742A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38 </w:t>
            </w:r>
          </w:p>
        </w:tc>
      </w:tr>
      <w:tr w:rsidR="00537733" w:rsidRPr="00537733" w14:paraId="33D9303C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7A757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787E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7733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42FA" w14:textId="1ABF659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5C6A" w14:textId="529F5B7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486B" w14:textId="1B02791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F8B9" w14:textId="0EC313E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D8D4" w14:textId="4F96837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448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0E2B" w14:textId="32325F9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38 </w:t>
            </w:r>
          </w:p>
        </w:tc>
      </w:tr>
      <w:tr w:rsidR="00537733" w:rsidRPr="00537733" w14:paraId="1998DE77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C3282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A6E5C" w14:textId="5D4D7436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87DB1" w14:textId="1FAFA9B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AA09A" w14:textId="422D3D0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021B7" w14:textId="58D4348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A474B" w14:textId="4B45225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DCB9C" w14:textId="71D9D342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537733" w:rsidRPr="00537733" w14:paraId="077758B4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B36F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D93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59F5" w14:textId="41AAAB5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0370" w14:textId="16C5E06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CE35" w14:textId="4BF0ABC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9E18" w14:textId="414F510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EC90" w14:textId="65ECB4A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353E" w14:textId="4EB8E38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73927938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2A851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E45E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EC25" w14:textId="35E9A836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4D56" w14:textId="443B5AB9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CCDC" w14:textId="3301A5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EE0F" w14:textId="68C5E47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A2FF" w14:textId="756EF34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D98B" w14:textId="39E663E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066D5AD9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3D5F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523C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90C8" w14:textId="7EA4B05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F8FD" w14:textId="16BD6FE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BB74" w14:textId="2B2EE7B9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3E29" w14:textId="2480DC1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A6C1" w14:textId="42E1298F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F740" w14:textId="0ED85E95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38F6D25C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2EF68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2194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F878" w14:textId="0647221D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D4EF" w14:textId="4E4075B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9749" w14:textId="5993457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A9C8" w14:textId="700A43C4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2477" w14:textId="4825615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B5A8" w14:textId="59A90F3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4167E746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F593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06A9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376B" w14:textId="3B03087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DC49" w14:textId="1992A1D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C33F" w14:textId="6C96CC5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22DA" w14:textId="2EB0D13D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CC4D" w14:textId="1433DB7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E47" w14:textId="6A3A290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537733" w:rsidRPr="00537733" w14:paraId="7B8E64FD" w14:textId="77777777" w:rsidTr="00537733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04C16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37733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3B1CC" w14:textId="6D4620F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8B5BB" w14:textId="2CB4344D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07984" w14:textId="7AA33838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2615E" w14:textId="38110F31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E37A1" w14:textId="3B26976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8E539" w14:textId="44783FCB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377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537733" w:rsidRPr="00537733" w14:paraId="2D94A9B5" w14:textId="77777777" w:rsidTr="00537733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54156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5377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4ACC" w14:textId="77777777" w:rsidR="00537733" w:rsidRPr="00537733" w:rsidRDefault="00537733" w:rsidP="005377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7733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43B0" w14:textId="7B714692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66AC" w14:textId="69E7E884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7CA5" w14:textId="09CCEB20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AD91" w14:textId="3B033DB3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759B" w14:textId="585CEFBE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A4A9" w14:textId="5DFCD6AC" w:rsidR="00537733" w:rsidRPr="00537733" w:rsidRDefault="00537733" w:rsidP="005377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537733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7F0C1D4B" w:rsidR="00B93C24" w:rsidRPr="008F309B" w:rsidRDefault="005E22D8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902FEB">
        <w:rPr>
          <w:rFonts w:ascii="Arial" w:eastAsia="Arial" w:hAnsi="Arial" w:cs="Arial"/>
          <w:sz w:val="24"/>
          <w:szCs w:val="24"/>
        </w:rPr>
        <w:t>have temporarily stayed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16009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F0E8F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5F7B8324" w:rsidR="004818A5" w:rsidRPr="00BF0E8F" w:rsidRDefault="00D1478C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</w:t>
            </w:r>
            <w:r w:rsid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9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32763AFD" w:rsidR="00A2022E" w:rsidRPr="008D26AE" w:rsidRDefault="008D26AE" w:rsidP="008D26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7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09 </w:t>
            </w:r>
            <w:r w:rsidR="00D1478C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54E666" w14:textId="4C66FFF9" w:rsidR="008D26AE" w:rsidRPr="008D26AE" w:rsidRDefault="008D26AE" w:rsidP="008D26A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staff attended the Response Cluster Meeting to discuss updates and other concerns of member agencies relative to Tail-End of Frontal System (Shear Line).</w:t>
            </w:r>
          </w:p>
          <w:p w14:paraId="7DB40687" w14:textId="55AD0991" w:rsidR="00A2022E" w:rsidRPr="008D26AE" w:rsidRDefault="00A2022E" w:rsidP="009877F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BF0E8F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provided 81 Hygiene Kits amounting to ₱137,700.00 to the affected families in </w:t>
            </w:r>
            <w:proofErr w:type="spellStart"/>
            <w:r w:rsidR="00BF0E8F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Tuguegarao</w:t>
            </w:r>
            <w:proofErr w:type="spellEnd"/>
            <w:r w:rsidR="00BF0E8F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City.</w:t>
            </w:r>
          </w:p>
          <w:p w14:paraId="07E2F61B" w14:textId="0D259207" w:rsidR="00795350" w:rsidRPr="008D26AE" w:rsidRDefault="00090B3C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 xml:space="preserve">A total of </w:t>
            </w:r>
            <w:r w:rsidRPr="008D26AE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117 families</w:t>
            </w: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or </w:t>
            </w:r>
            <w:r w:rsidRPr="008D26AE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355 persons</w:t>
            </w: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have pre-emptively evacuated in </w:t>
            </w:r>
            <w:r w:rsidR="00D3105D" w:rsidRPr="00D3105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three (</w:t>
            </w:r>
            <w:r w:rsidRPr="00D3105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</w:t>
            </w:r>
            <w:r w:rsidR="00D3105D" w:rsidRPr="00D3105D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)</w:t>
            </w:r>
            <w:r w:rsidRPr="008D26AE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 xml:space="preserve"> evacuation centers</w:t>
            </w: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in </w:t>
            </w:r>
            <w:proofErr w:type="spellStart"/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Cabatuan</w:t>
            </w:r>
            <w:proofErr w:type="spellEnd"/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, Isabela. </w:t>
            </w:r>
          </w:p>
          <w:p w14:paraId="2607B077" w14:textId="55865C69" w:rsidR="00BF0E8F" w:rsidRPr="008D26AE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</w:t>
            </w:r>
            <w:r w:rsidR="00BF0E8F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Response Management Division</w:t>
            </w:r>
            <w:r w:rsidR="0034517A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Quirino</w:t>
            </w:r>
            <w:proofErr w:type="spellEnd"/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8D26AE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8D26AE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</w:t>
            </w: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effects </w:t>
            </w:r>
            <w:r w:rsidR="0034517A"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Pr="008D26AE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this weather disturbance.</w:t>
            </w:r>
          </w:p>
        </w:tc>
        <w:bookmarkStart w:id="1" w:name="_GoBack"/>
        <w:bookmarkEnd w:id="1"/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33032D6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 II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3793824E" w:rsidR="00227A76" w:rsidRPr="00227A76" w:rsidRDefault="00537733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67BBD618" w14:textId="7D460E72" w:rsidR="00567283" w:rsidRDefault="00567283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02F2B" w14:textId="77777777" w:rsidR="00A4110D" w:rsidRDefault="00A4110D">
      <w:pPr>
        <w:spacing w:after="0" w:line="240" w:lineRule="auto"/>
      </w:pPr>
      <w:r>
        <w:separator/>
      </w:r>
    </w:p>
  </w:endnote>
  <w:endnote w:type="continuationSeparator" w:id="0">
    <w:p w14:paraId="63F4CBD7" w14:textId="77777777" w:rsidR="00A4110D" w:rsidRDefault="00A4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0A0CB15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3105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3105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8D26AE">
      <w:rPr>
        <w:rFonts w:ascii="Arial" w:eastAsia="Arial" w:hAnsi="Arial" w:cs="Arial"/>
        <w:sz w:val="14"/>
        <w:szCs w:val="14"/>
      </w:rPr>
      <w:t>7</w:t>
    </w:r>
    <w:r w:rsidR="0034517A">
      <w:rPr>
        <w:rFonts w:ascii="Arial" w:eastAsia="Arial" w:hAnsi="Arial" w:cs="Arial"/>
        <w:sz w:val="14"/>
        <w:szCs w:val="14"/>
      </w:rPr>
      <w:t xml:space="preserve">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D1478C">
      <w:rPr>
        <w:rFonts w:ascii="Arial" w:eastAsia="Arial" w:hAnsi="Arial" w:cs="Arial"/>
        <w:sz w:val="14"/>
        <w:szCs w:val="14"/>
      </w:rPr>
      <w:t>0</w:t>
    </w:r>
    <w:r w:rsidR="008D26AE">
      <w:rPr>
        <w:rFonts w:ascii="Arial" w:eastAsia="Arial" w:hAnsi="Arial" w:cs="Arial"/>
        <w:sz w:val="14"/>
        <w:szCs w:val="14"/>
      </w:rPr>
      <w:t>9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DDCD" w14:textId="77777777" w:rsidR="00A4110D" w:rsidRDefault="00A4110D">
      <w:pPr>
        <w:spacing w:after="0" w:line="240" w:lineRule="auto"/>
      </w:pPr>
      <w:r>
        <w:separator/>
      </w:r>
    </w:p>
  </w:footnote>
  <w:footnote w:type="continuationSeparator" w:id="0">
    <w:p w14:paraId="6E7FD819" w14:textId="77777777" w:rsidR="00A4110D" w:rsidRDefault="00A4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4"/>
  </w:num>
  <w:num w:numId="3">
    <w:abstractNumId w:val="19"/>
  </w:num>
  <w:num w:numId="4">
    <w:abstractNumId w:val="27"/>
  </w:num>
  <w:num w:numId="5">
    <w:abstractNumId w:val="28"/>
  </w:num>
  <w:num w:numId="6">
    <w:abstractNumId w:val="38"/>
  </w:num>
  <w:num w:numId="7">
    <w:abstractNumId w:val="26"/>
  </w:num>
  <w:num w:numId="8">
    <w:abstractNumId w:val="42"/>
  </w:num>
  <w:num w:numId="9">
    <w:abstractNumId w:val="25"/>
  </w:num>
  <w:num w:numId="10">
    <w:abstractNumId w:val="35"/>
  </w:num>
  <w:num w:numId="11">
    <w:abstractNumId w:val="20"/>
  </w:num>
  <w:num w:numId="12">
    <w:abstractNumId w:val="39"/>
  </w:num>
  <w:num w:numId="13">
    <w:abstractNumId w:val="34"/>
  </w:num>
  <w:num w:numId="14">
    <w:abstractNumId w:val="30"/>
  </w:num>
  <w:num w:numId="15">
    <w:abstractNumId w:val="45"/>
  </w:num>
  <w:num w:numId="16">
    <w:abstractNumId w:val="23"/>
  </w:num>
  <w:num w:numId="17">
    <w:abstractNumId w:val="46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1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7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7"/>
  </w:num>
  <w:num w:numId="34">
    <w:abstractNumId w:val="16"/>
  </w:num>
  <w:num w:numId="35">
    <w:abstractNumId w:val="10"/>
  </w:num>
  <w:num w:numId="36">
    <w:abstractNumId w:val="48"/>
  </w:num>
  <w:num w:numId="37">
    <w:abstractNumId w:val="18"/>
  </w:num>
  <w:num w:numId="38">
    <w:abstractNumId w:val="0"/>
  </w:num>
  <w:num w:numId="39">
    <w:abstractNumId w:val="13"/>
  </w:num>
  <w:num w:numId="40">
    <w:abstractNumId w:val="43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0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BA4B-C25F-476F-9F73-FC69C667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Leslie R. Jawili</cp:lastModifiedBy>
  <cp:revision>4</cp:revision>
  <dcterms:created xsi:type="dcterms:W3CDTF">2020-12-09T05:47:00Z</dcterms:created>
  <dcterms:modified xsi:type="dcterms:W3CDTF">2020-12-09T05:58:00Z</dcterms:modified>
</cp:coreProperties>
</file>