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E74947" w14:textId="77777777" w:rsidR="005E7221" w:rsidRDefault="00400D54" w:rsidP="00EB0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5E7221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20B8C40D" w:rsidR="00000CC0" w:rsidRPr="005A135C" w:rsidRDefault="008C43F4" w:rsidP="005E7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5E7221">
        <w:rPr>
          <w:rFonts w:ascii="Arial" w:eastAsia="Arial" w:hAnsi="Arial" w:cs="Arial"/>
          <w:b/>
          <w:sz w:val="32"/>
          <w:szCs w:val="24"/>
        </w:rPr>
        <w:t xml:space="preserve">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r w:rsidR="006833DA">
        <w:rPr>
          <w:rFonts w:ascii="Arial" w:eastAsia="Arial" w:hAnsi="Arial" w:cs="Arial"/>
          <w:b/>
          <w:sz w:val="32"/>
          <w:szCs w:val="24"/>
        </w:rPr>
        <w:t>Region VI</w:t>
      </w:r>
    </w:p>
    <w:p w14:paraId="106EECC5" w14:textId="41934497" w:rsidR="00F27639" w:rsidRDefault="005E7221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r>
        <w:rPr>
          <w:rFonts w:ascii="Arial" w:eastAsia="Arial" w:hAnsi="Arial" w:cs="Arial"/>
          <w:sz w:val="24"/>
          <w:szCs w:val="24"/>
        </w:rPr>
        <w:t>04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February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bookmarkEnd w:id="1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CD51312" w14:textId="4CD0ED6A" w:rsidR="00FD09D2" w:rsidRPr="005E7221" w:rsidRDefault="005E7221" w:rsidP="00FD09D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 Flooding Incident in Region VI that started o</w:t>
      </w:r>
      <w:r w:rsidR="001C1FE7" w:rsidRPr="005E7221">
        <w:rPr>
          <w:rFonts w:ascii="Arial" w:eastAsia="Arial" w:hAnsi="Arial" w:cs="Arial"/>
          <w:i/>
          <w:sz w:val="24"/>
          <w:szCs w:val="24"/>
        </w:rPr>
        <w:t xml:space="preserve">n </w:t>
      </w:r>
      <w:r w:rsidR="00542838" w:rsidRPr="005E7221">
        <w:rPr>
          <w:rFonts w:ascii="Arial" w:eastAsia="Arial" w:hAnsi="Arial" w:cs="Arial"/>
          <w:i/>
          <w:sz w:val="24"/>
          <w:szCs w:val="24"/>
        </w:rPr>
        <w:t>02 Dec</w:t>
      </w:r>
      <w:r w:rsidR="00F03362" w:rsidRPr="005E7221">
        <w:rPr>
          <w:rFonts w:ascii="Arial" w:eastAsia="Arial" w:hAnsi="Arial" w:cs="Arial"/>
          <w:i/>
          <w:sz w:val="24"/>
          <w:szCs w:val="24"/>
        </w:rPr>
        <w:t>ember</w:t>
      </w:r>
      <w:r w:rsidR="00D47079" w:rsidRPr="005E7221">
        <w:rPr>
          <w:rFonts w:ascii="Arial" w:eastAsia="Arial" w:hAnsi="Arial" w:cs="Arial"/>
          <w:i/>
          <w:sz w:val="24"/>
          <w:szCs w:val="24"/>
        </w:rPr>
        <w:t xml:space="preserve"> 20</w:t>
      </w:r>
      <w:r w:rsidR="00FD09D2" w:rsidRPr="005E7221">
        <w:rPr>
          <w:rFonts w:ascii="Arial" w:eastAsia="Arial" w:hAnsi="Arial" w:cs="Arial"/>
          <w:i/>
          <w:sz w:val="24"/>
          <w:szCs w:val="24"/>
        </w:rPr>
        <w:t>20</w:t>
      </w:r>
      <w:r>
        <w:rPr>
          <w:rFonts w:ascii="Arial" w:eastAsia="Arial" w:hAnsi="Arial" w:cs="Arial"/>
          <w:i/>
          <w:sz w:val="24"/>
          <w:szCs w:val="24"/>
        </w:rPr>
        <w:t>. T</w:t>
      </w:r>
      <w:r w:rsidR="006833DA" w:rsidRPr="005E7221">
        <w:rPr>
          <w:rFonts w:ascii="Arial" w:eastAsia="Arial" w:hAnsi="Arial" w:cs="Arial"/>
          <w:i/>
          <w:sz w:val="24"/>
          <w:szCs w:val="24"/>
        </w:rPr>
        <w:t xml:space="preserve">he LPA brought light to moderate with at times heavy rain showers over </w:t>
      </w:r>
      <w:proofErr w:type="spellStart"/>
      <w:r w:rsidR="006833DA" w:rsidRPr="005E7221">
        <w:rPr>
          <w:rFonts w:ascii="Arial" w:eastAsia="Arial" w:hAnsi="Arial" w:cs="Arial"/>
          <w:i/>
          <w:sz w:val="24"/>
          <w:szCs w:val="24"/>
        </w:rPr>
        <w:t>Capiz</w:t>
      </w:r>
      <w:proofErr w:type="spellEnd"/>
      <w:r w:rsidR="006833DA" w:rsidRPr="005E7221">
        <w:rPr>
          <w:rFonts w:ascii="Arial" w:eastAsia="Arial" w:hAnsi="Arial" w:cs="Arial"/>
          <w:i/>
          <w:sz w:val="24"/>
          <w:szCs w:val="24"/>
        </w:rPr>
        <w:t xml:space="preserve"> and </w:t>
      </w:r>
      <w:r w:rsidR="001D47DB" w:rsidRPr="005E7221">
        <w:rPr>
          <w:rFonts w:ascii="Arial" w:eastAsia="Arial" w:hAnsi="Arial" w:cs="Arial"/>
          <w:i/>
          <w:sz w:val="24"/>
          <w:szCs w:val="24"/>
        </w:rPr>
        <w:t xml:space="preserve">Northern Iloilo </w:t>
      </w:r>
      <w:r w:rsidR="006833DA" w:rsidRPr="005E7221">
        <w:rPr>
          <w:rFonts w:ascii="Arial" w:eastAsia="Arial" w:hAnsi="Arial" w:cs="Arial"/>
          <w:i/>
          <w:sz w:val="24"/>
          <w:szCs w:val="24"/>
        </w:rPr>
        <w:t xml:space="preserve">resulting to excessive flooding in several municipalities in the </w:t>
      </w:r>
      <w:r w:rsidR="001D47DB" w:rsidRPr="005E7221">
        <w:rPr>
          <w:rFonts w:ascii="Arial" w:eastAsia="Arial" w:hAnsi="Arial" w:cs="Arial"/>
          <w:i/>
          <w:sz w:val="24"/>
          <w:szCs w:val="24"/>
        </w:rPr>
        <w:t xml:space="preserve">said </w:t>
      </w:r>
      <w:r w:rsidR="006833DA" w:rsidRPr="005E7221">
        <w:rPr>
          <w:rFonts w:ascii="Arial" w:eastAsia="Arial" w:hAnsi="Arial" w:cs="Arial"/>
          <w:i/>
          <w:sz w:val="24"/>
          <w:szCs w:val="24"/>
        </w:rPr>
        <w:t>provinces</w:t>
      </w:r>
      <w:r w:rsidR="001D47DB" w:rsidRPr="005E7221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587FBA3E" w14:textId="77777777" w:rsidR="008329C3" w:rsidRDefault="008329C3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39A969" w14:textId="2C446FBF" w:rsidR="00697CE0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ACBC480" w14:textId="77777777" w:rsidR="005E7221" w:rsidRDefault="005E7221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AAD8C63" w14:textId="1AA135F2" w:rsidR="005E7221" w:rsidRPr="005E7221" w:rsidRDefault="005E7221" w:rsidP="005E72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05E2CC1" w:rsidR="000146D5" w:rsidRPr="002538E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38E6">
        <w:rPr>
          <w:rFonts w:ascii="Arial" w:eastAsia="Arial" w:hAnsi="Arial" w:cs="Arial"/>
          <w:sz w:val="24"/>
          <w:szCs w:val="24"/>
        </w:rPr>
        <w:t xml:space="preserve">A total of </w:t>
      </w:r>
      <w:r w:rsidR="00406BA8" w:rsidRPr="00406BA8">
        <w:rPr>
          <w:rFonts w:ascii="Arial" w:eastAsia="Arial" w:hAnsi="Arial" w:cs="Arial"/>
          <w:b/>
          <w:sz w:val="24"/>
          <w:szCs w:val="24"/>
        </w:rPr>
        <w:t xml:space="preserve">8,064 </w:t>
      </w:r>
      <w:r w:rsidRPr="002538E6">
        <w:rPr>
          <w:rFonts w:ascii="Arial" w:eastAsia="Arial" w:hAnsi="Arial" w:cs="Arial"/>
          <w:b/>
          <w:sz w:val="24"/>
          <w:szCs w:val="24"/>
        </w:rPr>
        <w:t>families</w:t>
      </w:r>
      <w:r w:rsidRPr="002538E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2538E6">
        <w:rPr>
          <w:rFonts w:ascii="Arial" w:eastAsia="Arial" w:hAnsi="Arial" w:cs="Arial"/>
          <w:sz w:val="24"/>
          <w:szCs w:val="24"/>
        </w:rPr>
        <w:t xml:space="preserve">or </w:t>
      </w:r>
      <w:r w:rsidR="00406BA8" w:rsidRPr="00406BA8">
        <w:rPr>
          <w:rFonts w:ascii="Arial" w:eastAsia="Arial" w:hAnsi="Arial" w:cs="Arial"/>
          <w:b/>
          <w:sz w:val="24"/>
          <w:szCs w:val="24"/>
        </w:rPr>
        <w:t xml:space="preserve">36,206 </w:t>
      </w:r>
      <w:r w:rsidRPr="002538E6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2538E6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2538E6">
        <w:rPr>
          <w:rFonts w:ascii="Arial" w:eastAsia="Arial" w:hAnsi="Arial" w:cs="Arial"/>
          <w:sz w:val="24"/>
          <w:szCs w:val="24"/>
        </w:rPr>
        <w:t>were</w:t>
      </w:r>
      <w:r w:rsidRPr="002538E6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538E6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2538E6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538E6">
        <w:rPr>
          <w:rFonts w:ascii="Arial" w:eastAsia="Arial" w:hAnsi="Arial" w:cs="Arial"/>
          <w:sz w:val="24"/>
          <w:szCs w:val="24"/>
        </w:rPr>
        <w:t>in</w:t>
      </w:r>
      <w:r w:rsidR="0008089C" w:rsidRPr="002538E6">
        <w:rPr>
          <w:rFonts w:ascii="Arial" w:eastAsia="Arial" w:hAnsi="Arial" w:cs="Arial"/>
          <w:b/>
          <w:sz w:val="24"/>
          <w:szCs w:val="24"/>
        </w:rPr>
        <w:t xml:space="preserve"> </w:t>
      </w:r>
      <w:r w:rsidR="009A5BC1" w:rsidRPr="00406BA8">
        <w:rPr>
          <w:rFonts w:ascii="Arial" w:eastAsia="Arial" w:hAnsi="Arial" w:cs="Arial"/>
          <w:b/>
          <w:sz w:val="24"/>
          <w:szCs w:val="24"/>
        </w:rPr>
        <w:t xml:space="preserve">151 </w:t>
      </w:r>
      <w:r w:rsidR="009A5BC1" w:rsidRPr="002538E6">
        <w:rPr>
          <w:rFonts w:ascii="Arial" w:eastAsia="Arial" w:hAnsi="Arial" w:cs="Arial"/>
          <w:b/>
          <w:sz w:val="24"/>
          <w:szCs w:val="24"/>
        </w:rPr>
        <w:t>Barangays</w:t>
      </w:r>
      <w:r w:rsidR="00463217" w:rsidRPr="002538E6">
        <w:rPr>
          <w:rFonts w:ascii="Arial" w:eastAsia="Arial" w:hAnsi="Arial" w:cs="Arial"/>
          <w:b/>
          <w:sz w:val="24"/>
          <w:szCs w:val="24"/>
        </w:rPr>
        <w:t xml:space="preserve"> </w:t>
      </w:r>
      <w:r w:rsidR="0062558F" w:rsidRPr="002538E6">
        <w:rPr>
          <w:rFonts w:ascii="Arial" w:eastAsia="Arial" w:hAnsi="Arial" w:cs="Arial"/>
          <w:sz w:val="24"/>
          <w:szCs w:val="24"/>
        </w:rPr>
        <w:t xml:space="preserve">in </w:t>
      </w:r>
      <w:r w:rsidR="001D47DB" w:rsidRPr="002538E6">
        <w:rPr>
          <w:rFonts w:ascii="Arial" w:eastAsia="Arial" w:hAnsi="Arial" w:cs="Arial"/>
          <w:b/>
          <w:sz w:val="24"/>
          <w:szCs w:val="24"/>
        </w:rPr>
        <w:t>Region VI</w:t>
      </w:r>
      <w:r w:rsidR="00D47079" w:rsidRPr="002538E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38E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406BA8" w:rsidRPr="00406BA8" w14:paraId="39D4F9A5" w14:textId="77777777" w:rsidTr="00406BA8">
        <w:trPr>
          <w:trHeight w:val="58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7B729B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E874C8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06BA8" w:rsidRPr="00406BA8" w14:paraId="3BD82291" w14:textId="77777777" w:rsidTr="00406BA8">
        <w:trPr>
          <w:trHeight w:val="58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FB08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82664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D5B06B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DDD243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6BA8" w:rsidRPr="00406BA8" w14:paraId="511B7FA6" w14:textId="77777777" w:rsidTr="00406BA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B8191F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8C33B" w14:textId="04B367A4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5689C5" w14:textId="2D3ADEB0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8,064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F03484" w14:textId="1928AEA9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36,206 </w:t>
            </w:r>
          </w:p>
        </w:tc>
      </w:tr>
      <w:tr w:rsidR="00406BA8" w:rsidRPr="00406BA8" w14:paraId="7450779B" w14:textId="77777777" w:rsidTr="00406BA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FCD906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E8D3A" w14:textId="5E5FF7C8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CBFF1" w14:textId="583726EF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8,064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C3A2B" w14:textId="003D2E1B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36,206 </w:t>
            </w:r>
          </w:p>
        </w:tc>
      </w:tr>
      <w:tr w:rsidR="00406BA8" w:rsidRPr="00406BA8" w14:paraId="434EA9DF" w14:textId="77777777" w:rsidTr="00406BA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97C67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66870" w14:textId="24575585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1758A" w14:textId="3DE679EF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4,087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71BB4" w14:textId="3EDC6902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17,962 </w:t>
            </w:r>
          </w:p>
        </w:tc>
      </w:tr>
      <w:tr w:rsidR="00406BA8" w:rsidRPr="00406BA8" w14:paraId="793C5FC2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7B5EA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AD0B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736F" w14:textId="44486D03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4D81" w14:textId="49EAE568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2216" w14:textId="0A49FA18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</w:tr>
      <w:tr w:rsidR="00406BA8" w:rsidRPr="00406BA8" w14:paraId="16D200AE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29768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230F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CBB8" w14:textId="3D6B9AED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2072" w14:textId="40091E90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7DA4" w14:textId="4C4564B2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4,872 </w:t>
            </w:r>
          </w:p>
        </w:tc>
      </w:tr>
      <w:tr w:rsidR="00406BA8" w:rsidRPr="00406BA8" w14:paraId="003C82B8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0CFAE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1017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1FF1" w14:textId="0716E05C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355E" w14:textId="2A859A0D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48AB" w14:textId="00733BFB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1,929 </w:t>
            </w:r>
          </w:p>
        </w:tc>
      </w:tr>
      <w:tr w:rsidR="00406BA8" w:rsidRPr="00406BA8" w14:paraId="1E93DFCB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F81F8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D89E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FF3C" w14:textId="41B04D04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98D5" w14:textId="49B7F9BB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1,799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FCC4" w14:textId="5D9C5022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8,230 </w:t>
            </w:r>
          </w:p>
        </w:tc>
      </w:tr>
      <w:tr w:rsidR="00406BA8" w:rsidRPr="00406BA8" w14:paraId="5FF5A1A8" w14:textId="77777777" w:rsidTr="00406BA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D3A80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A0C79" w14:textId="2C381F58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D8533" w14:textId="482925B4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3,977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BF07B" w14:textId="7721D5BB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18,244 </w:t>
            </w:r>
          </w:p>
        </w:tc>
      </w:tr>
      <w:tr w:rsidR="00406BA8" w:rsidRPr="00406BA8" w14:paraId="4AB5CC6D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79759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320E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45B0" w14:textId="78364A8E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3B7D" w14:textId="36E47E3F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205A" w14:textId="2E447A1F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3,690 </w:t>
            </w:r>
          </w:p>
        </w:tc>
      </w:tr>
      <w:tr w:rsidR="00406BA8" w:rsidRPr="00406BA8" w14:paraId="5D8694D1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04020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CCE3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0252" w14:textId="26B615DD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E62C" w14:textId="75B29E83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EC6C" w14:textId="348A2FF9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1,402 </w:t>
            </w:r>
          </w:p>
        </w:tc>
      </w:tr>
      <w:tr w:rsidR="00406BA8" w:rsidRPr="00406BA8" w14:paraId="34CA3394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80EDD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EE34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2A63" w14:textId="1FD9E3AB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0E93" w14:textId="797E3B90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0BED" w14:textId="0589EC5B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5,240 </w:t>
            </w:r>
          </w:p>
        </w:tc>
      </w:tr>
      <w:tr w:rsidR="00406BA8" w:rsidRPr="00406BA8" w14:paraId="630AC692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97C3F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61AA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9C5D" w14:textId="7966029A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5AF2" w14:textId="261E8BCE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FAD6" w14:textId="28309D68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2,030 </w:t>
            </w:r>
          </w:p>
        </w:tc>
      </w:tr>
      <w:tr w:rsidR="00406BA8" w:rsidRPr="00406BA8" w14:paraId="7E0E8E33" w14:textId="77777777" w:rsidTr="00406BA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BF48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0ABF" w14:textId="77777777" w:rsidR="00406BA8" w:rsidRPr="00406BA8" w:rsidRDefault="00406BA8" w:rsidP="00406B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EFD7" w14:textId="2EB9283B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FC9F" w14:textId="29099A7E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40CC" w14:textId="2A97CF9B" w:rsidR="00406BA8" w:rsidRPr="00406BA8" w:rsidRDefault="00406BA8" w:rsidP="00406B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5,882 </w:t>
            </w:r>
          </w:p>
        </w:tc>
      </w:tr>
    </w:tbl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4CBF936C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BD42531" w14:textId="77777777" w:rsidR="001D47DB" w:rsidRPr="001D47DB" w:rsidRDefault="001D47DB" w:rsidP="001D47DB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34C3C96A" w:rsidR="00F47AB8" w:rsidRPr="002538E6" w:rsidRDefault="0062558F" w:rsidP="001D47DB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2538E6">
        <w:rPr>
          <w:rFonts w:ascii="Arial" w:eastAsia="Arial" w:hAnsi="Arial" w:cs="Arial"/>
          <w:sz w:val="24"/>
          <w:szCs w:val="24"/>
        </w:rPr>
        <w:t>A total of</w:t>
      </w:r>
      <w:r w:rsidR="00D47079" w:rsidRPr="002538E6">
        <w:rPr>
          <w:rFonts w:ascii="Arial" w:eastAsia="Arial" w:hAnsi="Arial" w:cs="Arial"/>
          <w:b/>
          <w:sz w:val="24"/>
          <w:szCs w:val="24"/>
        </w:rPr>
        <w:t xml:space="preserve"> </w:t>
      </w:r>
      <w:r w:rsidR="009A5BC1">
        <w:rPr>
          <w:rFonts w:ascii="Arial" w:eastAsia="Arial" w:hAnsi="Arial" w:cs="Arial"/>
          <w:b/>
          <w:sz w:val="24"/>
          <w:szCs w:val="24"/>
        </w:rPr>
        <w:t>606</w:t>
      </w:r>
      <w:r w:rsidR="009E2634" w:rsidRPr="002538E6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2538E6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2538E6">
        <w:rPr>
          <w:rFonts w:ascii="Arial" w:eastAsia="Arial" w:hAnsi="Arial" w:cs="Arial"/>
          <w:sz w:val="24"/>
          <w:szCs w:val="24"/>
        </w:rPr>
        <w:t xml:space="preserve"> or </w:t>
      </w:r>
      <w:r w:rsidR="009A5BC1" w:rsidRPr="009A5BC1">
        <w:rPr>
          <w:rFonts w:ascii="Arial" w:eastAsia="Arial" w:hAnsi="Arial" w:cs="Arial"/>
          <w:b/>
          <w:sz w:val="24"/>
          <w:szCs w:val="24"/>
        </w:rPr>
        <w:t xml:space="preserve">2,917 </w:t>
      </w:r>
      <w:r w:rsidR="00D47079" w:rsidRPr="002538E6">
        <w:rPr>
          <w:rFonts w:ascii="Arial" w:eastAsia="Arial" w:hAnsi="Arial" w:cs="Arial"/>
          <w:b/>
          <w:sz w:val="24"/>
          <w:szCs w:val="24"/>
        </w:rPr>
        <w:t>persons</w:t>
      </w:r>
      <w:r w:rsidRPr="002538E6">
        <w:rPr>
          <w:rFonts w:ascii="Arial" w:eastAsia="Arial" w:hAnsi="Arial" w:cs="Arial"/>
          <w:sz w:val="24"/>
          <w:szCs w:val="24"/>
        </w:rPr>
        <w:t xml:space="preserve"> took</w:t>
      </w:r>
      <w:r w:rsidR="00250AE3" w:rsidRPr="002538E6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2538E6">
        <w:rPr>
          <w:rFonts w:ascii="Arial" w:eastAsia="Arial" w:hAnsi="Arial" w:cs="Arial"/>
          <w:sz w:val="24"/>
          <w:szCs w:val="24"/>
        </w:rPr>
        <w:t xml:space="preserve"> </w:t>
      </w:r>
      <w:r w:rsidRPr="002538E6">
        <w:rPr>
          <w:rFonts w:ascii="Arial" w:eastAsia="Arial" w:hAnsi="Arial" w:cs="Arial"/>
          <w:sz w:val="24"/>
          <w:szCs w:val="24"/>
        </w:rPr>
        <w:t xml:space="preserve">in </w:t>
      </w:r>
      <w:r w:rsidR="009A5BC1">
        <w:rPr>
          <w:rFonts w:ascii="Arial" w:eastAsia="Arial" w:hAnsi="Arial" w:cs="Arial"/>
          <w:b/>
          <w:sz w:val="24"/>
          <w:szCs w:val="24"/>
        </w:rPr>
        <w:t>21</w:t>
      </w:r>
      <w:r w:rsidRPr="002538E6">
        <w:rPr>
          <w:rFonts w:ascii="Arial" w:eastAsia="Arial" w:hAnsi="Arial" w:cs="Arial"/>
          <w:b/>
          <w:sz w:val="24"/>
          <w:szCs w:val="24"/>
        </w:rPr>
        <w:t xml:space="preserve"> evacuation centers</w:t>
      </w:r>
      <w:r w:rsidRPr="002538E6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2538E6">
        <w:rPr>
          <w:rFonts w:ascii="Arial" w:eastAsia="Arial" w:hAnsi="Arial" w:cs="Arial"/>
          <w:sz w:val="24"/>
          <w:szCs w:val="24"/>
        </w:rPr>
        <w:t>(see Table 2).</w:t>
      </w:r>
      <w:r w:rsidRPr="002538E6">
        <w:rPr>
          <w:rFonts w:ascii="Arial" w:eastAsia="Arial" w:hAnsi="Arial" w:cs="Arial"/>
          <w:sz w:val="24"/>
          <w:szCs w:val="24"/>
        </w:rPr>
        <w:t xml:space="preserve"> All of these families have returned home.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6196CCE9" w:rsidR="008C43F4" w:rsidRPr="00F47AB8" w:rsidRDefault="008C43F4" w:rsidP="00901C53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64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3418"/>
        <w:gridCol w:w="915"/>
        <w:gridCol w:w="917"/>
        <w:gridCol w:w="915"/>
        <w:gridCol w:w="917"/>
        <w:gridCol w:w="917"/>
        <w:gridCol w:w="917"/>
      </w:tblGrid>
      <w:tr w:rsidR="009A5BC1" w:rsidRPr="00406BA8" w14:paraId="2818475A" w14:textId="77777777" w:rsidTr="009A5BC1">
        <w:trPr>
          <w:trHeight w:val="20"/>
        </w:trPr>
        <w:tc>
          <w:tcPr>
            <w:tcW w:w="1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CA0641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5EE1EC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0E13BF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A5BC1" w:rsidRPr="00406BA8" w14:paraId="269AE58B" w14:textId="77777777" w:rsidTr="009A5BC1">
        <w:trPr>
          <w:trHeight w:val="20"/>
        </w:trPr>
        <w:tc>
          <w:tcPr>
            <w:tcW w:w="1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0DAE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98B7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AA696A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06BA8" w:rsidRPr="00406BA8" w14:paraId="72189328" w14:textId="77777777" w:rsidTr="009A5BC1">
        <w:trPr>
          <w:trHeight w:val="20"/>
        </w:trPr>
        <w:tc>
          <w:tcPr>
            <w:tcW w:w="1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DDC4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5AA0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4DB5B2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403406" w14:textId="01573A5C" w:rsidR="00406BA8" w:rsidRPr="00406BA8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="00406BA8"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5BC1" w:rsidRPr="00406BA8" w14:paraId="2C19EB37" w14:textId="77777777" w:rsidTr="009A5BC1">
        <w:trPr>
          <w:trHeight w:val="20"/>
        </w:trPr>
        <w:tc>
          <w:tcPr>
            <w:tcW w:w="1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6296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1CF47A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DBB9F2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7959A5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70FBE3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7C1159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B27406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A5BC1" w:rsidRPr="00406BA8" w14:paraId="697EA49C" w14:textId="77777777" w:rsidTr="009A5BC1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30608F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5343A" w14:textId="536C3B10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E16C97" w14:textId="1CDAF791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0F9654" w14:textId="42B5BDAC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606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6D434" w14:textId="3B17CD9B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07B7DE" w14:textId="402A1C41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2,917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25857A" w14:textId="36D221EC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A5BC1" w:rsidRPr="00406BA8" w14:paraId="128CE8B4" w14:textId="77777777" w:rsidTr="009A5BC1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7DE849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51CC7" w14:textId="44E04741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6DB31D" w14:textId="49520C91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7D61EA" w14:textId="5363BAB2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20395" w14:textId="6D947EFE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04019" w14:textId="4F7F3CBF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7D82C" w14:textId="73C36618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A5BC1" w:rsidRPr="00406BA8" w14:paraId="5623CD0C" w14:textId="77777777" w:rsidTr="009A5BC1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7F744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5B62F" w14:textId="0FD805C8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AF1AE" w14:textId="2CFA6BA9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67A6C" w14:textId="4BE312C6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375BF" w14:textId="3FDCC381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90B9B" w14:textId="05D6EC81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F36BD" w14:textId="2E2272C7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A5BC1" w:rsidRPr="00406BA8" w14:paraId="54855D57" w14:textId="77777777" w:rsidTr="009A5BC1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E1DC7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1BA9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D6FE" w14:textId="440B5E52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BBBE" w14:textId="2670DEA9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5053" w14:textId="0C49222C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53FF" w14:textId="4EC60C2E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414B" w14:textId="58CFAC02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A40C" w14:textId="2F091A71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406BA8" w14:paraId="3D9A315F" w14:textId="77777777" w:rsidTr="009A5BC1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AAB8C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E4A4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25B1" w14:textId="5A4BD360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E766" w14:textId="3582B0BD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E8E2" w14:textId="3BEAEC5C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DBC1" w14:textId="3E03251E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30B1" w14:textId="7C284E65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A4E9" w14:textId="31833D15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406BA8" w14:paraId="0F2A3910" w14:textId="77777777" w:rsidTr="009A5BC1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4E23A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A74F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4C2E" w14:textId="116DF930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4950" w14:textId="0851F993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82A4" w14:textId="5225DD1B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9BBA" w14:textId="147F5A73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19B9" w14:textId="0542C66C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77F2" w14:textId="7D5F3EA2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406BA8" w14:paraId="57331FC7" w14:textId="77777777" w:rsidTr="009A5BC1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BCC7D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0CD29" w14:textId="55BCFAC7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B75B5" w14:textId="7C7A7EDB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F9C76" w14:textId="2A269B0F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23083" w14:textId="38121536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BDCAB" w14:textId="41569DD7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D661C" w14:textId="5BEDD806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A5BC1" w:rsidRPr="00406BA8" w14:paraId="2E0150C0" w14:textId="77777777" w:rsidTr="009A5BC1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70CCD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09D0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3547" w14:textId="6160DB15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878F" w14:textId="765D7A9C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5D94" w14:textId="254E0681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CE6F" w14:textId="2B2C6EBF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3FBB" w14:textId="21C5644A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1,402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C6BF" w14:textId="2F1BB032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406BA8" w14:paraId="401B2DDB" w14:textId="77777777" w:rsidTr="009A5BC1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3948B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5436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92E7" w14:textId="658B01C5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8859" w14:textId="55A7409B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B5C5" w14:textId="5D4ED568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0EB8" w14:textId="4A4BF619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A5F8" w14:textId="6D76EA4F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2855" w14:textId="6FB05584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406BA8" w14:paraId="3005ACB5" w14:textId="77777777" w:rsidTr="009A5BC1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AF064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1142" w14:textId="77777777" w:rsidR="00406BA8" w:rsidRPr="00406BA8" w:rsidRDefault="00406BA8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DE3A" w14:textId="4A132AFD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3B54" w14:textId="1BDE1D40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BA57" w14:textId="5E1334E3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779E" w14:textId="78ADF7CB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C457" w14:textId="3EF90E16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EC37" w14:textId="00A4E232" w:rsidR="00406BA8" w:rsidRPr="00406BA8" w:rsidRDefault="00406BA8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B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E476B26" w14:textId="217EA32B" w:rsidR="0062558F" w:rsidRDefault="0040632B" w:rsidP="002538E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1B830862" w14:textId="42B39E4C" w:rsidR="002538E6" w:rsidRPr="002177EB" w:rsidRDefault="002538E6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3CC14E" w14:textId="6FA4C805" w:rsidR="00901C53" w:rsidRPr="00901C53" w:rsidRDefault="00901C53" w:rsidP="00901C53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</w:t>
      </w:r>
      <w:r w:rsidRPr="00901C53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901C53">
        <w:rPr>
          <w:rFonts w:ascii="Arial" w:eastAsia="Arial" w:hAnsi="Arial" w:cs="Arial"/>
          <w:sz w:val="24"/>
          <w:szCs w:val="24"/>
        </w:rPr>
        <w:t xml:space="preserve"> </w:t>
      </w:r>
    </w:p>
    <w:p w14:paraId="2C4F4439" w14:textId="50190769" w:rsidR="00901C53" w:rsidRPr="002538E6" w:rsidRDefault="00901C53" w:rsidP="00EB0DF9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2538E6">
        <w:rPr>
          <w:rFonts w:ascii="Arial" w:eastAsia="Arial" w:hAnsi="Arial" w:cs="Arial"/>
          <w:sz w:val="24"/>
          <w:szCs w:val="24"/>
        </w:rPr>
        <w:t>A total of</w:t>
      </w:r>
      <w:r w:rsidRPr="002538E6">
        <w:rPr>
          <w:rFonts w:ascii="Arial" w:eastAsia="Arial" w:hAnsi="Arial" w:cs="Arial"/>
          <w:b/>
          <w:sz w:val="24"/>
          <w:szCs w:val="24"/>
        </w:rPr>
        <w:t xml:space="preserve"> </w:t>
      </w:r>
      <w:r w:rsidR="009A5BC1" w:rsidRPr="009A5BC1">
        <w:rPr>
          <w:rFonts w:ascii="Arial" w:eastAsia="Arial" w:hAnsi="Arial" w:cs="Arial"/>
          <w:b/>
          <w:sz w:val="24"/>
          <w:szCs w:val="24"/>
        </w:rPr>
        <w:t xml:space="preserve">1,601 </w:t>
      </w:r>
      <w:r w:rsidRPr="002538E6">
        <w:rPr>
          <w:rFonts w:ascii="Arial" w:eastAsia="Arial" w:hAnsi="Arial" w:cs="Arial"/>
          <w:b/>
          <w:sz w:val="24"/>
          <w:szCs w:val="24"/>
        </w:rPr>
        <w:t>families</w:t>
      </w:r>
      <w:r w:rsidRPr="002538E6">
        <w:rPr>
          <w:rFonts w:ascii="Arial" w:eastAsia="Arial" w:hAnsi="Arial" w:cs="Arial"/>
          <w:sz w:val="24"/>
          <w:szCs w:val="24"/>
        </w:rPr>
        <w:t xml:space="preserve"> or </w:t>
      </w:r>
      <w:r w:rsidR="009A5BC1" w:rsidRPr="009A5BC1">
        <w:rPr>
          <w:rFonts w:ascii="Arial" w:eastAsia="Arial" w:hAnsi="Arial" w:cs="Arial"/>
          <w:b/>
          <w:sz w:val="24"/>
          <w:szCs w:val="24"/>
        </w:rPr>
        <w:t xml:space="preserve">8,224 </w:t>
      </w:r>
      <w:r w:rsidRPr="002538E6">
        <w:rPr>
          <w:rFonts w:ascii="Arial" w:eastAsia="Arial" w:hAnsi="Arial" w:cs="Arial"/>
          <w:b/>
          <w:sz w:val="24"/>
          <w:szCs w:val="24"/>
        </w:rPr>
        <w:t>persons</w:t>
      </w:r>
      <w:r w:rsidRPr="002538E6">
        <w:rPr>
          <w:rFonts w:ascii="Arial" w:eastAsia="Arial" w:hAnsi="Arial" w:cs="Arial"/>
          <w:sz w:val="24"/>
          <w:szCs w:val="24"/>
        </w:rPr>
        <w:t xml:space="preserve"> have temporarily stayed with their relatives and/or friends (see Table 3). </w:t>
      </w:r>
    </w:p>
    <w:p w14:paraId="2F36E45E" w14:textId="77777777" w:rsidR="002538E6" w:rsidRPr="00EB0DF9" w:rsidRDefault="002538E6" w:rsidP="00EB0DF9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F9012A" w14:textId="337DFCA3" w:rsidR="00901C53" w:rsidRPr="00F47AB8" w:rsidRDefault="00901C53" w:rsidP="00901C53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3.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391"/>
        <w:gridCol w:w="1130"/>
        <w:gridCol w:w="1130"/>
        <w:gridCol w:w="1130"/>
        <w:gridCol w:w="1129"/>
      </w:tblGrid>
      <w:tr w:rsidR="009A5BC1" w:rsidRPr="009A5BC1" w14:paraId="57ECD880" w14:textId="77777777" w:rsidTr="009A5BC1">
        <w:trPr>
          <w:trHeight w:val="20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1CC0C1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1B5DDD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A5BC1" w:rsidRPr="009A5BC1" w14:paraId="25562A62" w14:textId="77777777" w:rsidTr="009A5BC1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9206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00BCC2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A5BC1" w:rsidRPr="009A5BC1" w14:paraId="46274510" w14:textId="77777777" w:rsidTr="009A5BC1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A526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60A1CF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C578B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A5BC1" w:rsidRPr="009A5BC1" w14:paraId="2B4E48D7" w14:textId="77777777" w:rsidTr="009A5BC1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6149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4E0BA1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20FEB9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D8D3E1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451BF5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A5BC1" w:rsidRPr="009A5BC1" w14:paraId="5B7BCC4B" w14:textId="77777777" w:rsidTr="009A5BC1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B03D3A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298B5F" w14:textId="765265B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D4A948" w14:textId="14A0E1BF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F0CF8" w14:textId="02A1BA9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514974" w14:textId="663AE554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A5BC1" w:rsidRPr="009A5BC1" w14:paraId="759F91F8" w14:textId="77777777" w:rsidTr="009A5BC1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593B54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5D66F" w14:textId="7D52A1EF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06720" w14:textId="6497320D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0E169" w14:textId="2AB1EF41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4481F" w14:textId="6C59393E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A5BC1" w:rsidRPr="009A5BC1" w14:paraId="53D5CE3A" w14:textId="77777777" w:rsidTr="009A5BC1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FC697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24D1F" w14:textId="0DCCD5CF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575EE" w14:textId="55F7E06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9F2DD" w14:textId="65E85EB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70C75" w14:textId="707E21E4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A5BC1" w:rsidRPr="009A5BC1" w14:paraId="1845E67B" w14:textId="77777777" w:rsidTr="009A5B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56C4C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88AA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8833" w14:textId="08D2E762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C6F9" w14:textId="38BD18E5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0C03" w14:textId="46D6200E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827E" w14:textId="33E82B0F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9A5BC1" w14:paraId="279A53D2" w14:textId="77777777" w:rsidTr="009A5B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7B3D5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C03A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66B6" w14:textId="2BE6AD43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0E57" w14:textId="7B56E11E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D840" w14:textId="1535974E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F560" w14:textId="74850F75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9A5BC1" w14:paraId="55A8CB3E" w14:textId="77777777" w:rsidTr="009A5B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E6126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E20A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A7C6" w14:textId="05A59DEE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206F" w14:textId="5B353A7C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236F" w14:textId="44832E0A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1C63" w14:textId="42A8EB3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9A5BC1" w14:paraId="5503FD4D" w14:textId="77777777" w:rsidTr="009A5BC1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9FC17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8CDC8" w14:textId="26394A45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B39CF" w14:textId="5B0533B5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5B754" w14:textId="715421B3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7,047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6F864" w14:textId="529C8AF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A5BC1" w:rsidRPr="009A5BC1" w14:paraId="2AE6D84B" w14:textId="77777777" w:rsidTr="009A5B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95F2C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D98E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C365" w14:textId="6F10CD1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FD57" w14:textId="670E7CB5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D1FD" w14:textId="4BE4384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B984" w14:textId="38FD5A7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9A5BC1" w14:paraId="6782CAE3" w14:textId="77777777" w:rsidTr="009A5B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478D4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5713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49B2" w14:textId="656F619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0AAE" w14:textId="55B70EDF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86F5" w14:textId="2DE298A8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5,882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455C" w14:textId="0F5820B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0104AC3" w14:textId="69D31C7E" w:rsidR="00901C53" w:rsidRDefault="00901C53" w:rsidP="009E2634">
      <w:pPr>
        <w:spacing w:after="0" w:line="240" w:lineRule="auto"/>
        <w:ind w:left="720" w:firstLine="48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9E2634" w:rsidRPr="009E263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Previously reported 1,439 families and 5,140 persons in San </w:t>
      </w:r>
      <w:proofErr w:type="spellStart"/>
      <w:r w:rsidR="009E2634" w:rsidRPr="009E263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Dionisio</w:t>
      </w:r>
      <w:proofErr w:type="spellEnd"/>
      <w:r w:rsidR="009E2634" w:rsidRPr="009E263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apparently did not leave their respective houses.</w:t>
      </w:r>
      <w:r w:rsidR="009E263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0CFFBB75" w14:textId="37FC5E57" w:rsidR="0062558F" w:rsidRDefault="00901C53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77777777" w:rsidR="002177EB" w:rsidRPr="002177EB" w:rsidRDefault="002177E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028F7F2" w14:textId="77777777" w:rsidR="009A5BC1" w:rsidRDefault="009A5BC1" w:rsidP="009A5BC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A5BC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743AF9" w14:textId="3AFEF3BA" w:rsidR="009A5BC1" w:rsidRPr="009A5BC1" w:rsidRDefault="009A5BC1" w:rsidP="009A5BC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9A5BC1">
        <w:rPr>
          <w:rFonts w:ascii="Arial" w:eastAsia="Arial" w:hAnsi="Arial" w:cs="Arial"/>
          <w:bCs/>
          <w:sz w:val="24"/>
          <w:szCs w:val="24"/>
        </w:rPr>
        <w:t>A total of</w:t>
      </w:r>
      <w:r w:rsidRPr="009A5B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A5BC1">
        <w:rPr>
          <w:rFonts w:ascii="Arial" w:eastAsia="Arial" w:hAnsi="Arial" w:cs="Arial"/>
          <w:b/>
          <w:sz w:val="24"/>
          <w:szCs w:val="24"/>
        </w:rPr>
        <w:t xml:space="preserve">1,148 </w:t>
      </w:r>
      <w:r w:rsidRPr="009A5BC1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9A5BC1">
        <w:rPr>
          <w:rFonts w:ascii="Arial" w:eastAsia="Arial" w:hAnsi="Arial" w:cs="Arial"/>
          <w:sz w:val="24"/>
          <w:szCs w:val="24"/>
        </w:rPr>
        <w:t>were</w:t>
      </w:r>
      <w:r w:rsidRPr="009A5BC1">
        <w:rPr>
          <w:rFonts w:ascii="Arial" w:eastAsia="Arial" w:hAnsi="Arial" w:cs="Arial"/>
          <w:b/>
          <w:sz w:val="24"/>
          <w:szCs w:val="24"/>
        </w:rPr>
        <w:t xml:space="preserve"> damaged</w:t>
      </w:r>
      <w:r w:rsidRPr="009A5BC1">
        <w:rPr>
          <w:rFonts w:ascii="Arial" w:eastAsia="Arial" w:hAnsi="Arial" w:cs="Arial"/>
          <w:bCs/>
          <w:sz w:val="24"/>
          <w:szCs w:val="24"/>
        </w:rPr>
        <w:t>;</w:t>
      </w:r>
      <w:r w:rsidRPr="009A5B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A5BC1">
        <w:rPr>
          <w:rFonts w:ascii="Arial" w:eastAsia="Arial" w:hAnsi="Arial" w:cs="Arial"/>
          <w:bCs/>
          <w:sz w:val="24"/>
          <w:szCs w:val="24"/>
        </w:rPr>
        <w:t xml:space="preserve">of which, </w:t>
      </w:r>
      <w:r w:rsidRPr="009A5BC1">
        <w:rPr>
          <w:rFonts w:ascii="Arial" w:eastAsia="Arial" w:hAnsi="Arial" w:cs="Arial"/>
          <w:b/>
          <w:sz w:val="24"/>
          <w:szCs w:val="24"/>
        </w:rPr>
        <w:t>32</w:t>
      </w:r>
      <w:r w:rsidRPr="009A5BC1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A5BC1">
        <w:rPr>
          <w:rFonts w:ascii="Arial" w:eastAsia="Arial" w:hAnsi="Arial" w:cs="Arial"/>
          <w:b/>
          <w:sz w:val="24"/>
          <w:szCs w:val="24"/>
        </w:rPr>
        <w:t>totally damaged</w:t>
      </w:r>
      <w:r w:rsidRPr="009A5BC1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A5BC1">
        <w:rPr>
          <w:rFonts w:ascii="Arial" w:eastAsia="Arial" w:hAnsi="Arial" w:cs="Arial"/>
          <w:b/>
          <w:sz w:val="24"/>
          <w:szCs w:val="24"/>
        </w:rPr>
        <w:t xml:space="preserve">1,116 </w:t>
      </w:r>
      <w:r w:rsidRPr="009A5BC1">
        <w:rPr>
          <w:rFonts w:ascii="Arial" w:eastAsia="Arial" w:hAnsi="Arial" w:cs="Arial"/>
          <w:bCs/>
          <w:sz w:val="24"/>
          <w:szCs w:val="24"/>
        </w:rPr>
        <w:t>were</w:t>
      </w:r>
      <w:r w:rsidRPr="009A5BC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A5BC1">
        <w:rPr>
          <w:rFonts w:ascii="Arial" w:eastAsia="Arial" w:hAnsi="Arial" w:cs="Arial"/>
          <w:b/>
          <w:sz w:val="24"/>
          <w:szCs w:val="24"/>
        </w:rPr>
        <w:t>partially damaged</w:t>
      </w:r>
      <w:r w:rsidRPr="009A5BC1">
        <w:rPr>
          <w:rFonts w:ascii="Arial" w:eastAsia="Arial" w:hAnsi="Arial" w:cs="Arial"/>
          <w:bCs/>
          <w:sz w:val="24"/>
          <w:szCs w:val="24"/>
        </w:rPr>
        <w:t xml:space="preserve"> (see Table 4).</w:t>
      </w:r>
    </w:p>
    <w:p w14:paraId="69073B2C" w14:textId="77777777" w:rsidR="009A5BC1" w:rsidRPr="00071E24" w:rsidRDefault="009A5BC1" w:rsidP="009A5BC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5575E338" w14:textId="77777777" w:rsidR="009A5BC1" w:rsidRPr="00E52A51" w:rsidRDefault="009A5BC1" w:rsidP="009A5BC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Table 4. Number of Damaged 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62"/>
        <w:gridCol w:w="1277"/>
        <w:gridCol w:w="1277"/>
        <w:gridCol w:w="1279"/>
      </w:tblGrid>
      <w:tr w:rsidR="009A5BC1" w:rsidRPr="009A5BC1" w14:paraId="71160EF9" w14:textId="77777777" w:rsidTr="009A5BC1">
        <w:trPr>
          <w:trHeight w:val="58"/>
        </w:trPr>
        <w:tc>
          <w:tcPr>
            <w:tcW w:w="29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8BC9D1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CA4DC3" w14:textId="388D36D3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A5BC1" w:rsidRPr="009A5BC1" w14:paraId="739EA3F3" w14:textId="77777777" w:rsidTr="009A5BC1">
        <w:trPr>
          <w:trHeight w:val="20"/>
        </w:trPr>
        <w:tc>
          <w:tcPr>
            <w:tcW w:w="2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FA6C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F5DA54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C58942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2F5A0E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A5BC1" w:rsidRPr="009A5BC1" w14:paraId="18BCDBF5" w14:textId="77777777" w:rsidTr="009A5BC1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352C1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BA8A42" w14:textId="3C820FD8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56DF24" w14:textId="7919234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BB47C3" w14:textId="029E397D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1,116 </w:t>
            </w:r>
          </w:p>
        </w:tc>
      </w:tr>
      <w:tr w:rsidR="009A5BC1" w:rsidRPr="009A5BC1" w14:paraId="5014F43E" w14:textId="77777777" w:rsidTr="009A5BC1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4F10DC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68D02" w14:textId="172B4E4D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C4B55" w14:textId="74C25679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2F245" w14:textId="5F81CD71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1,116 </w:t>
            </w:r>
          </w:p>
        </w:tc>
      </w:tr>
      <w:tr w:rsidR="009A5BC1" w:rsidRPr="009A5BC1" w14:paraId="44396210" w14:textId="77777777" w:rsidTr="009A5BC1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ACAAF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E8573" w14:textId="57E98A0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25981" w14:textId="6F2BB76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083B4" w14:textId="52F02BEC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A5BC1" w:rsidRPr="009A5BC1" w14:paraId="489546EA" w14:textId="77777777" w:rsidTr="009A5BC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3D933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6E1E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40A6" w14:textId="352F1AA1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12A6" w14:textId="7477FA75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24FA" w14:textId="04CD935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9A5BC1" w:rsidRPr="009A5BC1" w14:paraId="52DE969B" w14:textId="77777777" w:rsidTr="009A5BC1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E4C69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623FA" w14:textId="4857F1D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EDA67" w14:textId="7573B8A3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D7E2E" w14:textId="4745853D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1,113 </w:t>
            </w:r>
          </w:p>
        </w:tc>
      </w:tr>
      <w:tr w:rsidR="009A5BC1" w:rsidRPr="009A5BC1" w14:paraId="270A6F3E" w14:textId="77777777" w:rsidTr="009A5BC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4A7BA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683C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7B39" w14:textId="5F630FB1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00BE" w14:textId="74EC2F7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33FF" w14:textId="6C94DBCC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A5BC1" w:rsidRPr="009A5BC1" w14:paraId="52C9E04A" w14:textId="77777777" w:rsidTr="009A5BC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A5A70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6E60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441A" w14:textId="0A76398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1,115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4A25" w14:textId="0B758AE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7031" w14:textId="0EB5F029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1,113 </w:t>
            </w:r>
          </w:p>
        </w:tc>
      </w:tr>
    </w:tbl>
    <w:p w14:paraId="23EA23D5" w14:textId="57FA8FEF" w:rsidR="009A5BC1" w:rsidRDefault="009A5BC1" w:rsidP="009A5BC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42709DD0" w14:textId="77777777" w:rsidR="009A5BC1" w:rsidRPr="009A5BC1" w:rsidRDefault="009A5BC1" w:rsidP="009A5BC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2A60FB7" w14:textId="12BE26FB" w:rsidR="0040632B" w:rsidRPr="0040632B" w:rsidRDefault="009E2634" w:rsidP="00901C5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2417A940" w:rsidR="0040632B" w:rsidRPr="002538E6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2538E6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2538E6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9A5BC1" w:rsidRPr="009A5BC1">
        <w:rPr>
          <w:rFonts w:ascii="Arial" w:hAnsi="Arial" w:cs="Arial"/>
          <w:b/>
          <w:bCs/>
          <w:sz w:val="24"/>
          <w:shd w:val="clear" w:color="auto" w:fill="FFFFFF"/>
        </w:rPr>
        <w:t xml:space="preserve">1,953,097.00 </w:t>
      </w:r>
      <w:r w:rsidRPr="002538E6">
        <w:rPr>
          <w:rFonts w:ascii="Arial" w:hAnsi="Arial" w:cs="Arial"/>
          <w:sz w:val="24"/>
          <w:shd w:val="clear" w:color="auto" w:fill="FFFFFF"/>
        </w:rPr>
        <w:t xml:space="preserve">worth of assistance was provided to the affected families; of which, </w:t>
      </w:r>
      <w:r w:rsidRPr="002538E6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9E2634" w:rsidRPr="002538E6">
        <w:rPr>
          <w:rFonts w:ascii="Arial" w:hAnsi="Arial" w:cs="Arial"/>
          <w:b/>
          <w:bCs/>
          <w:sz w:val="24"/>
          <w:shd w:val="clear" w:color="auto" w:fill="FFFFFF"/>
        </w:rPr>
        <w:t xml:space="preserve">1,245,240.00 </w:t>
      </w:r>
      <w:r w:rsidRPr="002538E6">
        <w:rPr>
          <w:rFonts w:ascii="Arial" w:hAnsi="Arial" w:cs="Arial"/>
          <w:sz w:val="24"/>
          <w:shd w:val="clear" w:color="auto" w:fill="FFFFFF"/>
        </w:rPr>
        <w:t xml:space="preserve">from </w:t>
      </w:r>
      <w:r w:rsidR="009E2634" w:rsidRPr="002538E6">
        <w:rPr>
          <w:rFonts w:ascii="Arial" w:hAnsi="Arial" w:cs="Arial"/>
          <w:b/>
          <w:bCs/>
          <w:sz w:val="24"/>
          <w:shd w:val="clear" w:color="auto" w:fill="FFFFFF"/>
        </w:rPr>
        <w:t xml:space="preserve">DSWD, </w:t>
      </w:r>
      <w:r w:rsidRPr="002538E6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9A5BC1" w:rsidRPr="009A5BC1">
        <w:rPr>
          <w:rFonts w:ascii="Arial" w:hAnsi="Arial" w:cs="Arial"/>
          <w:b/>
          <w:bCs/>
          <w:sz w:val="24"/>
          <w:shd w:val="clear" w:color="auto" w:fill="FFFFFF"/>
        </w:rPr>
        <w:t xml:space="preserve">704,857.00 </w:t>
      </w:r>
      <w:r w:rsidRPr="002538E6">
        <w:rPr>
          <w:rFonts w:ascii="Arial" w:hAnsi="Arial" w:cs="Arial"/>
          <w:sz w:val="24"/>
          <w:shd w:val="clear" w:color="auto" w:fill="FFFFFF"/>
        </w:rPr>
        <w:t>from</w:t>
      </w:r>
      <w:r w:rsidRPr="002538E6">
        <w:rPr>
          <w:rFonts w:ascii="Arial" w:hAnsi="Arial" w:cs="Arial"/>
          <w:b/>
          <w:bCs/>
          <w:sz w:val="24"/>
          <w:shd w:val="clear" w:color="auto" w:fill="FFFFFF"/>
        </w:rPr>
        <w:t xml:space="preserve"> LGUs</w:t>
      </w:r>
      <w:r w:rsidR="009E2634" w:rsidRPr="002538E6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9E2634" w:rsidRPr="002538E6">
        <w:rPr>
          <w:rFonts w:ascii="Arial" w:hAnsi="Arial" w:cs="Arial"/>
          <w:sz w:val="24"/>
          <w:shd w:val="clear" w:color="auto" w:fill="FFFFFF"/>
        </w:rPr>
        <w:t xml:space="preserve">and </w:t>
      </w:r>
      <w:r w:rsidR="009E2634" w:rsidRPr="002538E6">
        <w:rPr>
          <w:rFonts w:ascii="Arial" w:hAnsi="Arial" w:cs="Arial"/>
          <w:b/>
          <w:bCs/>
          <w:sz w:val="24"/>
          <w:shd w:val="clear" w:color="auto" w:fill="FFFFFF"/>
        </w:rPr>
        <w:t xml:space="preserve">₱3,000.00 </w:t>
      </w:r>
      <w:r w:rsidR="009E2634" w:rsidRPr="002538E6">
        <w:rPr>
          <w:rFonts w:ascii="Arial" w:hAnsi="Arial" w:cs="Arial"/>
          <w:bCs/>
          <w:sz w:val="24"/>
          <w:shd w:val="clear" w:color="auto" w:fill="FFFFFF"/>
        </w:rPr>
        <w:t xml:space="preserve">from </w:t>
      </w:r>
      <w:r w:rsidR="009E2634" w:rsidRPr="002538E6">
        <w:rPr>
          <w:rFonts w:ascii="Arial" w:hAnsi="Arial" w:cs="Arial"/>
          <w:b/>
          <w:bCs/>
          <w:sz w:val="24"/>
          <w:shd w:val="clear" w:color="auto" w:fill="FFFFFF"/>
        </w:rPr>
        <w:t xml:space="preserve">Private Partners </w:t>
      </w:r>
      <w:r w:rsidR="009A5BC1">
        <w:rPr>
          <w:rFonts w:ascii="Arial" w:hAnsi="Arial" w:cs="Arial"/>
          <w:sz w:val="24"/>
          <w:shd w:val="clear" w:color="auto" w:fill="FFFFFF"/>
        </w:rPr>
        <w:t>(see Table 5</w:t>
      </w:r>
      <w:r w:rsidRPr="002538E6">
        <w:rPr>
          <w:rFonts w:ascii="Arial" w:hAnsi="Arial" w:cs="Arial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7547AA5F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9A5BC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8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566"/>
        <w:gridCol w:w="1417"/>
        <w:gridCol w:w="1417"/>
        <w:gridCol w:w="1134"/>
        <w:gridCol w:w="1134"/>
        <w:gridCol w:w="1690"/>
      </w:tblGrid>
      <w:tr w:rsidR="009A5BC1" w:rsidRPr="009A5BC1" w14:paraId="78C723A0" w14:textId="77777777" w:rsidTr="009A5BC1">
        <w:trPr>
          <w:trHeight w:val="58"/>
        </w:trPr>
        <w:tc>
          <w:tcPr>
            <w:tcW w:w="1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CADA35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21E125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A5BC1" w:rsidRPr="009A5BC1" w14:paraId="62F56D6B" w14:textId="77777777" w:rsidTr="009A5BC1">
        <w:trPr>
          <w:trHeight w:val="20"/>
        </w:trPr>
        <w:tc>
          <w:tcPr>
            <w:tcW w:w="1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2BE13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92BEBD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AC185A" w14:textId="46BA6698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2EF74E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D25789" w14:textId="3F5BE078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74E156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A5BC1" w:rsidRPr="009A5BC1" w14:paraId="46792448" w14:textId="77777777" w:rsidTr="009A5BC1">
        <w:trPr>
          <w:trHeight w:val="20"/>
        </w:trPr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0B86DC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418D79" w14:textId="06C289B1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1,245,240.00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D35D8" w14:textId="579C4D24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704,857.00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6785F8" w14:textId="64B5814C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3,000.00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8B6785" w14:textId="1BAED6A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0F067F" w14:textId="68575FB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1,953,097.00 </w:t>
            </w:r>
          </w:p>
        </w:tc>
      </w:tr>
      <w:tr w:rsidR="009A5BC1" w:rsidRPr="009A5BC1" w14:paraId="7A64B112" w14:textId="77777777" w:rsidTr="009A5BC1">
        <w:trPr>
          <w:trHeight w:val="20"/>
        </w:trPr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71B872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BDC289" w14:textId="7AFFE79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1,245,240.00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CC26F" w14:textId="03B7C488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704,857.00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1BECCC" w14:textId="6F0BB7A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3,000.00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82B18" w14:textId="60FE08AC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A2185" w14:textId="304610A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1,953,097.00 </w:t>
            </w:r>
          </w:p>
        </w:tc>
      </w:tr>
      <w:tr w:rsidR="009A5BC1" w:rsidRPr="009A5BC1" w14:paraId="756F301B" w14:textId="77777777" w:rsidTr="009A5BC1">
        <w:trPr>
          <w:trHeight w:val="20"/>
        </w:trPr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A03DE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306BB" w14:textId="29AA8AFA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61EC8" w14:textId="579BEE38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7B93E" w14:textId="31ED904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A7085" w14:textId="1DBD956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B4E80" w14:textId="55F176DE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9A5BC1" w:rsidRPr="009A5BC1" w14:paraId="6397FFD1" w14:textId="77777777" w:rsidTr="009A5B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57113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AF43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4A27" w14:textId="1E891C3F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5F1C" w14:textId="15FA0E7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7DB5" w14:textId="6C943E59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35A3" w14:textId="77A08C18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807C" w14:textId="0FBBD73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9A5BC1" w:rsidRPr="009A5BC1" w14:paraId="5388E6E6" w14:textId="77777777" w:rsidTr="009A5B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DEEE8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2F65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0BDB" w14:textId="7D5DC5B1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CC6B" w14:textId="301FF769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E217" w14:textId="0C38A122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4F32" w14:textId="04A4A13D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F3E8" w14:textId="43760D1C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9A5BC1" w:rsidRPr="009A5BC1" w14:paraId="25C32155" w14:textId="77777777" w:rsidTr="009A5BC1">
        <w:trPr>
          <w:trHeight w:val="20"/>
        </w:trPr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EFAAB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3484A" w14:textId="0749D04D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525,240.00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91460" w14:textId="30E68FB4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704,857.00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F8A61" w14:textId="7557656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3,000.00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C8D78" w14:textId="0D1AA8B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C1375" w14:textId="73E6FCD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1,233,097.00 </w:t>
            </w:r>
          </w:p>
        </w:tc>
      </w:tr>
      <w:tr w:rsidR="009A5BC1" w:rsidRPr="009A5BC1" w14:paraId="498ECCBA" w14:textId="77777777" w:rsidTr="009A5B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28BB3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395B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1E0A" w14:textId="10474B7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587F" w14:textId="7613A0DB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143,112.00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EB6F" w14:textId="43FB9DE4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DF5D" w14:textId="2177AC4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A4AF" w14:textId="5BF70EE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146,112.00 </w:t>
            </w:r>
          </w:p>
        </w:tc>
      </w:tr>
      <w:tr w:rsidR="009A5BC1" w:rsidRPr="009A5BC1" w14:paraId="7C948567" w14:textId="77777777" w:rsidTr="009A5B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0DEC7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3EA6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55A7" w14:textId="116DF3A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525,240.00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9800" w14:textId="5508E55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F18C" w14:textId="56DD8310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4E85" w14:textId="658B224C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02CF" w14:textId="5329F7C5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575,240.00 </w:t>
            </w:r>
          </w:p>
        </w:tc>
      </w:tr>
      <w:tr w:rsidR="009A5BC1" w:rsidRPr="009A5BC1" w14:paraId="240644AF" w14:textId="77777777" w:rsidTr="009A5B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EC830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B85F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F3AC" w14:textId="7C5F76C2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BDB2F" w14:textId="09079D37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139,825.00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81C6" w14:textId="7C14D49D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71C2" w14:textId="1181C455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FD760" w14:textId="03A5BDC1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139,825.00 </w:t>
            </w:r>
          </w:p>
        </w:tc>
      </w:tr>
      <w:tr w:rsidR="009A5BC1" w:rsidRPr="009A5BC1" w14:paraId="6B7D55DD" w14:textId="77777777" w:rsidTr="009A5B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5BA01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7654" w14:textId="77777777" w:rsidR="009A5BC1" w:rsidRPr="009A5BC1" w:rsidRDefault="009A5BC1" w:rsidP="009A5B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56AD" w14:textId="37ADEC9E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DC5F" w14:textId="0F8CEAD6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371,920.00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2B30" w14:textId="548032B9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A1E3" w14:textId="3DA84673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45F2" w14:textId="47EB3879" w:rsidR="009A5BC1" w:rsidRPr="009A5BC1" w:rsidRDefault="009A5BC1" w:rsidP="009A5B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371,920.00 </w:t>
            </w:r>
          </w:p>
        </w:tc>
      </w:tr>
    </w:tbl>
    <w:p w14:paraId="65545A2B" w14:textId="6864C787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799684EC" w14:textId="3BB65901" w:rsidR="0040632B" w:rsidRPr="00EB0DF9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18"/>
          <w:szCs w:val="24"/>
        </w:rPr>
      </w:pPr>
    </w:p>
    <w:p w14:paraId="3839EB45" w14:textId="3FAFB4B8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63A27">
        <w:trPr>
          <w:trHeight w:val="244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1895036" w:rsidR="004C4D79" w:rsidRPr="009E2634" w:rsidRDefault="002538E6" w:rsidP="00253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03</w:t>
            </w:r>
            <w:r w:rsidR="002177EB" w:rsidRPr="009E263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7E663285" w:rsidR="0040632B" w:rsidRPr="009E2634" w:rsidRDefault="002177EB" w:rsidP="002538E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9E2634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 </w:t>
            </w:r>
            <w:r w:rsidR="002538E6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submitted their </w:t>
            </w:r>
            <w:r w:rsidR="002538E6" w:rsidRPr="002538E6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  <w:r w:rsidR="002538E6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D418E04" w14:textId="77777777" w:rsidR="009A5BC1" w:rsidRDefault="009A5BC1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10865A44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7BCD1CB7" w:rsidR="001E01B2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="002538E6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06D384FB" w14:textId="77777777" w:rsidR="009A5BC1" w:rsidRPr="006564EB" w:rsidRDefault="009A5BC1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8FEF331" w14:textId="77777777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Pr="00EB0DF9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18"/>
          <w:szCs w:val="24"/>
        </w:rPr>
      </w:pPr>
    </w:p>
    <w:p w14:paraId="7C096735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F1AD7AF" w:rsidR="00C9090C" w:rsidRPr="00EC5F21" w:rsidRDefault="002177E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35ED6185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9AAA" w14:textId="77777777" w:rsidR="005F4D0B" w:rsidRDefault="005F4D0B">
      <w:pPr>
        <w:spacing w:after="0" w:line="240" w:lineRule="auto"/>
      </w:pPr>
      <w:r>
        <w:separator/>
      </w:r>
    </w:p>
  </w:endnote>
  <w:endnote w:type="continuationSeparator" w:id="0">
    <w:p w14:paraId="54F652D7" w14:textId="77777777" w:rsidR="005F4D0B" w:rsidRDefault="005F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E44508D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063A27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063A27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2634">
      <w:rPr>
        <w:rFonts w:ascii="Arial" w:eastAsia="Arial" w:hAnsi="Arial" w:cs="Arial"/>
        <w:sz w:val="14"/>
        <w:szCs w:val="14"/>
      </w:rPr>
      <w:t xml:space="preserve">DSWD DROMIC </w:t>
    </w:r>
    <w:r w:rsidR="008329C3">
      <w:rPr>
        <w:rFonts w:ascii="Arial" w:eastAsia="Arial" w:hAnsi="Arial" w:cs="Arial"/>
        <w:sz w:val="14"/>
        <w:szCs w:val="14"/>
      </w:rPr>
      <w:t>Terminal Report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2177EB">
      <w:rPr>
        <w:rFonts w:ascii="Arial" w:eastAsia="Arial" w:hAnsi="Arial" w:cs="Arial"/>
        <w:sz w:val="14"/>
        <w:szCs w:val="14"/>
      </w:rPr>
      <w:t>Region VI</w:t>
    </w:r>
    <w:r w:rsidR="008329C3">
      <w:rPr>
        <w:rFonts w:ascii="Arial" w:eastAsia="Arial" w:hAnsi="Arial" w:cs="Arial"/>
        <w:sz w:val="14"/>
        <w:szCs w:val="14"/>
      </w:rPr>
      <w:t>, 04 February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B672" w14:textId="77777777" w:rsidR="005F4D0B" w:rsidRDefault="005F4D0B">
      <w:pPr>
        <w:spacing w:after="0" w:line="240" w:lineRule="auto"/>
      </w:pPr>
      <w:r>
        <w:separator/>
      </w:r>
    </w:p>
  </w:footnote>
  <w:footnote w:type="continuationSeparator" w:id="0">
    <w:p w14:paraId="65E73C13" w14:textId="77777777" w:rsidR="005F4D0B" w:rsidRDefault="005F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16"/>
  </w:num>
  <w:num w:numId="5">
    <w:abstractNumId w:val="17"/>
  </w:num>
  <w:num w:numId="6">
    <w:abstractNumId w:val="24"/>
  </w:num>
  <w:num w:numId="7">
    <w:abstractNumId w:val="14"/>
  </w:num>
  <w:num w:numId="8">
    <w:abstractNumId w:val="28"/>
  </w:num>
  <w:num w:numId="9">
    <w:abstractNumId w:val="12"/>
  </w:num>
  <w:num w:numId="10">
    <w:abstractNumId w:val="23"/>
  </w:num>
  <w:num w:numId="11">
    <w:abstractNumId w:val="31"/>
  </w:num>
  <w:num w:numId="12">
    <w:abstractNumId w:val="22"/>
  </w:num>
  <w:num w:numId="13">
    <w:abstractNumId w:val="2"/>
  </w:num>
  <w:num w:numId="14">
    <w:abstractNumId w:val="13"/>
  </w:num>
  <w:num w:numId="15">
    <w:abstractNumId w:val="1"/>
  </w:num>
  <w:num w:numId="16">
    <w:abstractNumId w:val="4"/>
  </w:num>
  <w:num w:numId="17">
    <w:abstractNumId w:val="18"/>
  </w:num>
  <w:num w:numId="18">
    <w:abstractNumId w:val="21"/>
  </w:num>
  <w:num w:numId="19">
    <w:abstractNumId w:val="7"/>
  </w:num>
  <w:num w:numId="20">
    <w:abstractNumId w:val="3"/>
  </w:num>
  <w:num w:numId="21">
    <w:abstractNumId w:val="8"/>
  </w:num>
  <w:num w:numId="22">
    <w:abstractNumId w:val="25"/>
  </w:num>
  <w:num w:numId="23">
    <w:abstractNumId w:val="27"/>
  </w:num>
  <w:num w:numId="24">
    <w:abstractNumId w:val="19"/>
  </w:num>
  <w:num w:numId="25">
    <w:abstractNumId w:val="32"/>
  </w:num>
  <w:num w:numId="26">
    <w:abstractNumId w:val="26"/>
  </w:num>
  <w:num w:numId="27">
    <w:abstractNumId w:val="9"/>
  </w:num>
  <w:num w:numId="28">
    <w:abstractNumId w:val="5"/>
  </w:num>
  <w:num w:numId="29">
    <w:abstractNumId w:val="20"/>
  </w:num>
  <w:num w:numId="30">
    <w:abstractNumId w:val="6"/>
  </w:num>
  <w:num w:numId="31">
    <w:abstractNumId w:val="0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3A2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32528"/>
    <w:rsid w:val="00247AE5"/>
    <w:rsid w:val="00250AE3"/>
    <w:rsid w:val="00250D5A"/>
    <w:rsid w:val="002538E6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06BA8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5E7221"/>
    <w:rsid w:val="005F4D0B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29C3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5BC1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3</cp:revision>
  <dcterms:created xsi:type="dcterms:W3CDTF">2021-02-04T06:41:00Z</dcterms:created>
  <dcterms:modified xsi:type="dcterms:W3CDTF">2021-02-04T06:48:00Z</dcterms:modified>
</cp:coreProperties>
</file>