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9C17FB" w14:textId="77777777" w:rsidR="00021848" w:rsidRDefault="00400D54" w:rsidP="0002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893AD1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071275D8" w:rsidR="00000CC0" w:rsidRPr="00E52A51" w:rsidRDefault="008C43F4" w:rsidP="0002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6404E516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</w:t>
      </w:r>
      <w:r w:rsidR="009E0CFE">
        <w:rPr>
          <w:rFonts w:ascii="Arial" w:eastAsia="Arial" w:hAnsi="Arial" w:cs="Arial"/>
          <w:sz w:val="24"/>
          <w:szCs w:val="24"/>
        </w:rPr>
        <w:t>1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7D814EDF" w:rsidR="00CE120A" w:rsidRPr="00E52A51" w:rsidRDefault="00893AD1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 w:rsidR="00EE2A49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CE120A" w:rsidRPr="00E52A51">
        <w:rPr>
          <w:rFonts w:ascii="Arial" w:eastAsia="Arial" w:hAnsi="Arial" w:cs="Arial"/>
          <w:sz w:val="24"/>
          <w:szCs w:val="24"/>
        </w:rPr>
        <w:t>1</w:t>
      </w:r>
      <w:r w:rsidR="00021848">
        <w:rPr>
          <w:rFonts w:ascii="Arial" w:eastAsia="Arial" w:hAnsi="Arial" w:cs="Arial"/>
          <w:sz w:val="24"/>
          <w:szCs w:val="24"/>
        </w:rPr>
        <w:t>5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 January 2021, </w:t>
      </w:r>
      <w:r w:rsidR="00021848" w:rsidRPr="00021848">
        <w:rPr>
          <w:rFonts w:ascii="Arial" w:eastAsia="Arial" w:hAnsi="Arial" w:cs="Arial"/>
          <w:sz w:val="24"/>
          <w:szCs w:val="24"/>
        </w:rPr>
        <w:t>moderate to heavy rains in the areas of Toril and</w:t>
      </w:r>
      <w:r w:rsidR="00021848">
        <w:rPr>
          <w:rFonts w:ascii="Arial" w:eastAsia="Arial" w:hAnsi="Arial" w:cs="Arial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sz w:val="24"/>
          <w:szCs w:val="24"/>
        </w:rPr>
        <w:t>Talomo Districts</w:t>
      </w:r>
      <w:r w:rsidR="00021848">
        <w:rPr>
          <w:rFonts w:ascii="Arial" w:eastAsia="Arial" w:hAnsi="Arial" w:cs="Arial"/>
          <w:sz w:val="24"/>
          <w:szCs w:val="24"/>
        </w:rPr>
        <w:t xml:space="preserve"> in Davao City were experienced</w:t>
      </w:r>
      <w:r w:rsidR="00021848" w:rsidRPr="00021848">
        <w:rPr>
          <w:rFonts w:ascii="Arial" w:eastAsia="Arial" w:hAnsi="Arial" w:cs="Arial"/>
          <w:sz w:val="24"/>
          <w:szCs w:val="24"/>
        </w:rPr>
        <w:t xml:space="preserve"> as a result of the prevailing easterlies in the region. This has caused th</w:t>
      </w:r>
      <w:r w:rsidR="00021848">
        <w:rPr>
          <w:rFonts w:ascii="Arial" w:eastAsia="Arial" w:hAnsi="Arial" w:cs="Arial"/>
          <w:sz w:val="24"/>
          <w:szCs w:val="24"/>
        </w:rPr>
        <w:t xml:space="preserve">e </w:t>
      </w:r>
      <w:r w:rsidR="00021848" w:rsidRPr="00021848">
        <w:rPr>
          <w:rFonts w:ascii="Arial" w:eastAsia="Arial" w:hAnsi="Arial" w:cs="Arial"/>
          <w:sz w:val="24"/>
          <w:szCs w:val="24"/>
        </w:rPr>
        <w:t>increase of water levels on the river channels along Davao River.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93DA252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06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923</w:t>
      </w:r>
      <w:r w:rsidR="007E5A31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eight (8)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Cs/>
          <w:sz w:val="24"/>
          <w:szCs w:val="24"/>
        </w:rPr>
        <w:t>in</w:t>
      </w:r>
      <w:r w:rsidR="000218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C263C3">
        <w:rPr>
          <w:rFonts w:ascii="Arial" w:eastAsia="Arial" w:hAnsi="Arial" w:cs="Arial"/>
          <w:sz w:val="24"/>
          <w:szCs w:val="24"/>
        </w:rPr>
        <w:t>see Table 1).</w:t>
      </w:r>
      <w:r w:rsidR="00F37D7A">
        <w:rPr>
          <w:rFonts w:ascii="Arial" w:eastAsia="Arial" w:hAnsi="Arial" w:cs="Arial"/>
          <w:sz w:val="24"/>
          <w:szCs w:val="24"/>
        </w:rPr>
        <w:t>)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2" w:type="pct"/>
        <w:tblInd w:w="421" w:type="dxa"/>
        <w:tblLook w:val="04A0" w:firstRow="1" w:lastRow="0" w:firstColumn="1" w:lastColumn="0" w:noHBand="0" w:noVBand="1"/>
      </w:tblPr>
      <w:tblGrid>
        <w:gridCol w:w="350"/>
        <w:gridCol w:w="4895"/>
        <w:gridCol w:w="1735"/>
        <w:gridCol w:w="1208"/>
        <w:gridCol w:w="1208"/>
      </w:tblGrid>
      <w:tr w:rsidR="00021848" w:rsidRPr="00021848" w14:paraId="15F24010" w14:textId="77777777" w:rsidTr="00021848">
        <w:trPr>
          <w:trHeight w:val="50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536D51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583E9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21848" w:rsidRPr="00021848" w14:paraId="54184472" w14:textId="77777777" w:rsidTr="00021848">
        <w:trPr>
          <w:trHeight w:val="50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0F0B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93FED4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A3B8B9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F26368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21848" w:rsidRPr="00021848" w14:paraId="0C6E7A3F" w14:textId="77777777" w:rsidTr="00021848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ABFF1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24D95" w14:textId="49FC3B2A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6F61D" w14:textId="4906E3E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C9E17" w14:textId="2D61822A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923 </w:t>
            </w:r>
          </w:p>
        </w:tc>
      </w:tr>
      <w:tr w:rsidR="00021848" w:rsidRPr="00021848" w14:paraId="7F58D27C" w14:textId="77777777" w:rsidTr="00021848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546E0D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E8DD1" w14:textId="39B48474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33B08" w14:textId="56C91186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DC6CE8" w14:textId="3B205330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923 </w:t>
            </w:r>
          </w:p>
        </w:tc>
      </w:tr>
      <w:tr w:rsidR="00021848" w:rsidRPr="00021848" w14:paraId="65ECB250" w14:textId="77777777" w:rsidTr="00021848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FD630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89BB8" w14:textId="3BCDC3F1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AC918" w14:textId="3CEBD045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18319" w14:textId="6E452768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923 </w:t>
            </w:r>
          </w:p>
        </w:tc>
      </w:tr>
      <w:tr w:rsidR="00021848" w:rsidRPr="00021848" w14:paraId="7935BADC" w14:textId="77777777" w:rsidTr="00021848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1889F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1946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6048" w14:textId="55F4C02D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796D" w14:textId="515EA25E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518C" w14:textId="779D5AFB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923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0DA0BB77" w:rsidR="00031EBA" w:rsidRPr="009F4D1C" w:rsidRDefault="00031EBA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202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906</w:t>
      </w:r>
      <w:r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>
        <w:rPr>
          <w:rFonts w:ascii="Arial" w:eastAsia="Arial" w:hAnsi="Arial" w:cs="Arial"/>
          <w:bCs/>
          <w:sz w:val="24"/>
          <w:szCs w:val="24"/>
        </w:rPr>
        <w:t>sought</w:t>
      </w:r>
      <w:r w:rsidR="009F4D1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eight (8) </w:t>
      </w:r>
      <w:bookmarkStart w:id="1" w:name="_GoBack"/>
      <w:bookmarkEnd w:id="1"/>
      <w:r w:rsidR="00021848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All of these families have returned home.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880" w:type="pct"/>
        <w:tblInd w:w="330" w:type="dxa"/>
        <w:tblLook w:val="04A0" w:firstRow="1" w:lastRow="0" w:firstColumn="1" w:lastColumn="0" w:noHBand="0" w:noVBand="1"/>
      </w:tblPr>
      <w:tblGrid>
        <w:gridCol w:w="330"/>
        <w:gridCol w:w="3727"/>
        <w:gridCol w:w="907"/>
        <w:gridCol w:w="909"/>
        <w:gridCol w:w="909"/>
        <w:gridCol w:w="909"/>
        <w:gridCol w:w="909"/>
        <w:gridCol w:w="909"/>
      </w:tblGrid>
      <w:tr w:rsidR="00021848" w:rsidRPr="00021848" w14:paraId="50611358" w14:textId="77777777" w:rsidTr="00021848">
        <w:trPr>
          <w:trHeight w:val="300"/>
        </w:trPr>
        <w:tc>
          <w:tcPr>
            <w:tcW w:w="2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1F645B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9B480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6E813E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21848" w:rsidRPr="00021848" w14:paraId="0FFCBF30" w14:textId="77777777" w:rsidTr="00021848">
        <w:trPr>
          <w:trHeight w:val="300"/>
        </w:trPr>
        <w:tc>
          <w:tcPr>
            <w:tcW w:w="2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F6B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DA7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551B15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21848" w:rsidRPr="00021848" w14:paraId="5C605313" w14:textId="77777777" w:rsidTr="00021848">
        <w:trPr>
          <w:trHeight w:val="300"/>
        </w:trPr>
        <w:tc>
          <w:tcPr>
            <w:tcW w:w="2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3DA5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DF67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831AA7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A26743" w14:textId="1B769122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021848" w:rsidRPr="00021848" w14:paraId="0BF4BAA4" w14:textId="77777777" w:rsidTr="00021848">
        <w:trPr>
          <w:trHeight w:val="50"/>
        </w:trPr>
        <w:tc>
          <w:tcPr>
            <w:tcW w:w="2133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E2A8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87304E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55021D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3F144F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FB0B9E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F97C0C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18B56B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21848" w:rsidRPr="00021848" w14:paraId="2913AA7D" w14:textId="77777777" w:rsidTr="00021848">
        <w:trPr>
          <w:trHeight w:val="27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D0965E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551D0" w14:textId="183A0CC3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C08535" w14:textId="6E5A3CE5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C32AC7" w14:textId="3ABE7865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4CFD0A" w14:textId="191B1986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4664A" w14:textId="7445ED5C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24EFE3" w14:textId="5374763F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1848" w:rsidRPr="00021848" w14:paraId="5EEBECB0" w14:textId="77777777" w:rsidTr="00021848">
        <w:trPr>
          <w:trHeight w:val="27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803AC6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BB511" w14:textId="062EA040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E1FD3" w14:textId="5A364D48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7A28A" w14:textId="7293FCD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36D83" w14:textId="6E5E95AC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8D0B37" w14:textId="3ED93ADE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4018A" w14:textId="7EE1B749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1848" w:rsidRPr="00021848" w14:paraId="38895233" w14:textId="77777777" w:rsidTr="00021848">
        <w:trPr>
          <w:trHeight w:val="270"/>
        </w:trPr>
        <w:tc>
          <w:tcPr>
            <w:tcW w:w="2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408D0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2C41E" w14:textId="5E54A616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A8159" w14:textId="7A3B0C3C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113FE" w14:textId="54973852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8B6E2" w14:textId="06EE113C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D047A" w14:textId="6D2124E4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5FE8" w14:textId="6F675CFB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1848" w:rsidRPr="00021848" w14:paraId="2750919D" w14:textId="77777777" w:rsidTr="00021848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34AC5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0BAE" w14:textId="77777777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012F" w14:textId="10A3BC02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1C01" w14:textId="05678EFD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011F" w14:textId="6DC2C2EB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C2EC" w14:textId="6FA259F9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DA11" w14:textId="0FC51DB0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A234" w14:textId="0F619470" w:rsidR="00021848" w:rsidRPr="00021848" w:rsidRDefault="00021848" w:rsidP="0002184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218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F3137E" w14:textId="60D64040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48B4DA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9E0CF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7462E2" w14:textId="77777777" w:rsidR="007F2059" w:rsidRDefault="007F2059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5CB9128" w14:textId="77777777" w:rsidR="007F2059" w:rsidRDefault="007F2059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6026AE4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ECBA0C6" w:rsidR="004C4D79" w:rsidRPr="00021848" w:rsidRDefault="00021848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="00222AD6" w:rsidRP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E0766" w14:textId="3A3D6706" w:rsidR="00021848" w:rsidRDefault="00021848" w:rsidP="0002184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through the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Disaster Response Operation Management Information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Center (DROMIC) is in close coordination with the 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Social Welfare Development Office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Reduction Management Office for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 augmentation assistance needed by the affected families.</w:t>
            </w:r>
          </w:p>
          <w:p w14:paraId="1BD84F1D" w14:textId="562D68FC" w:rsidR="00021848" w:rsidRPr="00021848" w:rsidRDefault="00021848" w:rsidP="0002184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DRMD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personnel conducted ocular visit to the affected areas.</w:t>
            </w:r>
          </w:p>
          <w:p w14:paraId="1CDEAA12" w14:textId="2D792745" w:rsidR="00822E48" w:rsidRPr="00021848" w:rsidRDefault="009F4D1C" w:rsidP="0002184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CSWDO</w:t>
            </w:r>
            <w:r w:rsid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021848"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deployed emergency mobile kitchen to Barangay</w:t>
            </w:r>
            <w:r w:rsid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="00021848"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Mandug and Tigatto.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5C9E9847" w:rsidR="00A45A2F" w:rsidRPr="00E52A51" w:rsidRDefault="00DF122B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7D17CB" w14:textId="4630F22F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3A21" w14:textId="77777777" w:rsidR="00CB04F1" w:rsidRDefault="00CB04F1">
      <w:pPr>
        <w:spacing w:after="0" w:line="240" w:lineRule="auto"/>
      </w:pPr>
      <w:r>
        <w:separator/>
      </w:r>
    </w:p>
  </w:endnote>
  <w:endnote w:type="continuationSeparator" w:id="0">
    <w:p w14:paraId="7645D00D" w14:textId="77777777" w:rsidR="00CB04F1" w:rsidRDefault="00CB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FE435CA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6C5DAF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6C5DAF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9F4D1C">
      <w:rPr>
        <w:rFonts w:ascii="Arial" w:eastAsia="Arial" w:hAnsi="Arial" w:cs="Arial"/>
        <w:sz w:val="14"/>
        <w:szCs w:val="14"/>
      </w:rPr>
      <w:t>1</w:t>
    </w:r>
    <w:r w:rsidRPr="00B81B74">
      <w:rPr>
        <w:rFonts w:ascii="Arial" w:eastAsia="Arial" w:hAnsi="Arial" w:cs="Arial"/>
        <w:sz w:val="14"/>
        <w:szCs w:val="14"/>
      </w:rPr>
      <w:t xml:space="preserve"> on the </w:t>
    </w:r>
    <w:r w:rsidR="009F4D1C">
      <w:rPr>
        <w:rFonts w:ascii="Arial" w:eastAsia="Arial" w:hAnsi="Arial" w:cs="Arial"/>
        <w:sz w:val="14"/>
        <w:szCs w:val="14"/>
      </w:rPr>
      <w:t>F</w:t>
    </w:r>
    <w:r w:rsidR="00021848">
      <w:rPr>
        <w:rFonts w:ascii="Arial" w:eastAsia="Arial" w:hAnsi="Arial" w:cs="Arial"/>
        <w:sz w:val="14"/>
        <w:szCs w:val="14"/>
      </w:rPr>
      <w:t xml:space="preserve">looding </w:t>
    </w:r>
    <w:r w:rsidR="009F4D1C">
      <w:rPr>
        <w:rFonts w:ascii="Arial" w:eastAsia="Arial" w:hAnsi="Arial" w:cs="Arial"/>
        <w:sz w:val="14"/>
        <w:szCs w:val="14"/>
      </w:rPr>
      <w:t xml:space="preserve">Incident in </w:t>
    </w:r>
    <w:r w:rsidR="00021848">
      <w:rPr>
        <w:rFonts w:ascii="Arial" w:eastAsia="Arial" w:hAnsi="Arial" w:cs="Arial"/>
        <w:sz w:val="14"/>
        <w:szCs w:val="14"/>
      </w:rPr>
      <w:t>Davao</w:t>
    </w:r>
    <w:r w:rsidR="009F4D1C" w:rsidRPr="009F4D1C">
      <w:rPr>
        <w:rFonts w:ascii="Arial" w:eastAsia="Arial" w:hAnsi="Arial" w:cs="Arial"/>
        <w:sz w:val="14"/>
        <w:szCs w:val="14"/>
      </w:rPr>
      <w:t xml:space="preserve"> City</w:t>
    </w:r>
    <w:r w:rsidR="009F4D1C">
      <w:rPr>
        <w:rFonts w:ascii="Arial" w:eastAsia="Arial" w:hAnsi="Arial" w:cs="Arial"/>
        <w:sz w:val="14"/>
        <w:szCs w:val="14"/>
      </w:rPr>
      <w:t xml:space="preserve">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</w:t>
    </w:r>
    <w:r w:rsidR="009E0CFE">
      <w:rPr>
        <w:rFonts w:ascii="Arial" w:eastAsia="Arial" w:hAnsi="Arial" w:cs="Arial"/>
        <w:sz w:val="14"/>
        <w:szCs w:val="14"/>
      </w:rPr>
      <w:t>1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971F" w14:textId="77777777" w:rsidR="00CB04F1" w:rsidRDefault="00CB04F1">
      <w:pPr>
        <w:spacing w:after="0" w:line="240" w:lineRule="auto"/>
      </w:pPr>
      <w:r>
        <w:separator/>
      </w:r>
    </w:p>
  </w:footnote>
  <w:footnote w:type="continuationSeparator" w:id="0">
    <w:p w14:paraId="3F40CB93" w14:textId="77777777" w:rsidR="00CB04F1" w:rsidRDefault="00CB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2021-01-21T05:47:00Z</dcterms:created>
  <dcterms:modified xsi:type="dcterms:W3CDTF">2021-01-21T05:49:00Z</dcterms:modified>
</cp:coreProperties>
</file>