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77777777" w:rsidR="00214845" w:rsidRPr="0027107A" w:rsidRDefault="00557C5F" w:rsidP="0027107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27107A">
        <w:rPr>
          <w:rFonts w:ascii="Arial" w:eastAsia="Arial" w:hAnsi="Arial" w:cs="Arial"/>
          <w:b/>
          <w:sz w:val="32"/>
          <w:szCs w:val="32"/>
        </w:rPr>
        <w:t>DSWD</w:t>
      </w:r>
      <w:r w:rsidR="00E04AE5" w:rsidRPr="0027107A">
        <w:rPr>
          <w:rFonts w:ascii="Arial" w:eastAsia="Arial" w:hAnsi="Arial" w:cs="Arial"/>
          <w:b/>
          <w:sz w:val="32"/>
          <w:szCs w:val="32"/>
        </w:rPr>
        <w:t xml:space="preserve"> </w:t>
      </w:r>
      <w:r w:rsidRPr="0027107A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27107A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27107A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27107A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27107A">
        <w:rPr>
          <w:rFonts w:ascii="Arial" w:eastAsia="Arial" w:hAnsi="Arial" w:cs="Arial"/>
          <w:b/>
          <w:sz w:val="32"/>
          <w:szCs w:val="32"/>
        </w:rPr>
        <w:t>#</w:t>
      </w:r>
      <w:r w:rsidR="00DF4AA2" w:rsidRPr="0027107A">
        <w:rPr>
          <w:rFonts w:ascii="Arial" w:eastAsia="Arial" w:hAnsi="Arial" w:cs="Arial"/>
          <w:b/>
          <w:sz w:val="32"/>
          <w:szCs w:val="32"/>
        </w:rPr>
        <w:t>1</w:t>
      </w:r>
      <w:r w:rsidR="00F04638" w:rsidRPr="0027107A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27107A">
        <w:rPr>
          <w:rFonts w:ascii="Arial" w:eastAsia="Arial" w:hAnsi="Arial" w:cs="Arial"/>
          <w:b/>
          <w:sz w:val="32"/>
          <w:szCs w:val="32"/>
        </w:rPr>
        <w:t>on</w:t>
      </w:r>
      <w:r w:rsidR="000D1CD4" w:rsidRPr="0027107A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27107A">
        <w:rPr>
          <w:rFonts w:ascii="Arial" w:eastAsia="Arial" w:hAnsi="Arial" w:cs="Arial"/>
          <w:b/>
          <w:sz w:val="32"/>
          <w:szCs w:val="32"/>
        </w:rPr>
        <w:t>he</w:t>
      </w:r>
      <w:r w:rsidR="006A3670" w:rsidRPr="0027107A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27107A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71C6ECEA" w:rsidR="00F04638" w:rsidRPr="0027107A" w:rsidRDefault="00AA6CEC" w:rsidP="0027107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27107A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27107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14845" w:rsidRPr="0027107A">
        <w:rPr>
          <w:rFonts w:ascii="Arial" w:eastAsia="Arial" w:hAnsi="Arial" w:cs="Arial"/>
          <w:b/>
          <w:sz w:val="32"/>
          <w:szCs w:val="32"/>
        </w:rPr>
        <w:t xml:space="preserve">. </w:t>
      </w:r>
      <w:r w:rsidR="005A1012" w:rsidRPr="0027107A">
        <w:rPr>
          <w:rFonts w:ascii="Arial" w:eastAsia="Arial" w:hAnsi="Arial" w:cs="Arial"/>
          <w:b/>
          <w:sz w:val="32"/>
          <w:szCs w:val="32"/>
        </w:rPr>
        <w:t>187</w:t>
      </w:r>
      <w:r w:rsidR="00214845" w:rsidRPr="0027107A">
        <w:rPr>
          <w:rFonts w:ascii="Arial" w:eastAsia="Arial" w:hAnsi="Arial" w:cs="Arial"/>
          <w:b/>
          <w:sz w:val="32"/>
          <w:szCs w:val="32"/>
        </w:rPr>
        <w:t>, Pasay City</w:t>
      </w:r>
    </w:p>
    <w:p w14:paraId="150B165C" w14:textId="52AC4DF7" w:rsidR="00E94313" w:rsidRPr="0027107A" w:rsidRDefault="00D26E8D" w:rsidP="0027107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27107A">
        <w:rPr>
          <w:rFonts w:ascii="Arial" w:eastAsia="Arial" w:hAnsi="Arial" w:cs="Arial"/>
          <w:sz w:val="24"/>
          <w:szCs w:val="24"/>
        </w:rPr>
        <w:t xml:space="preserve">as of </w:t>
      </w:r>
      <w:r w:rsidR="00AA3CC7" w:rsidRPr="0027107A">
        <w:rPr>
          <w:rFonts w:ascii="Arial" w:eastAsia="Arial" w:hAnsi="Arial" w:cs="Arial"/>
          <w:sz w:val="24"/>
          <w:szCs w:val="24"/>
        </w:rPr>
        <w:t>27 February 2021</w:t>
      </w:r>
      <w:r w:rsidR="00214845" w:rsidRPr="0027107A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27107A" w:rsidRDefault="00E94313" w:rsidP="0027107A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27107A" w:rsidRDefault="00FC54C7" w:rsidP="0027107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27107A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27107A" w:rsidRDefault="00A216DC" w:rsidP="0027107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BCA7F6" w14:textId="1842DAA7" w:rsidR="00214845" w:rsidRPr="0027107A" w:rsidRDefault="00C670C1" w:rsidP="0027107A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7107A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27107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CC7" w:rsidRPr="0027107A">
        <w:rPr>
          <w:rFonts w:ascii="Arial" w:eastAsia="Arial" w:hAnsi="Arial" w:cs="Arial"/>
          <w:color w:val="000000" w:themeColor="text1"/>
          <w:sz w:val="24"/>
          <w:szCs w:val="24"/>
        </w:rPr>
        <w:t xml:space="preserve">26 February 2021 </w:t>
      </w:r>
      <w:r w:rsidR="00214845" w:rsidRPr="0027107A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AA3CC7" w:rsidRPr="0027107A">
        <w:rPr>
          <w:rFonts w:ascii="Arial" w:eastAsia="Arial" w:hAnsi="Arial" w:cs="Arial"/>
          <w:color w:val="000000" w:themeColor="text1"/>
          <w:sz w:val="24"/>
          <w:szCs w:val="24"/>
        </w:rPr>
        <w:t>4:49 P</w:t>
      </w:r>
      <w:r w:rsidR="00214845" w:rsidRPr="0027107A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27107A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27107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27107A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AA3CC7" w:rsidRPr="0027107A">
        <w:rPr>
          <w:rFonts w:ascii="Arial" w:eastAsia="Arial" w:hAnsi="Arial" w:cs="Arial"/>
          <w:color w:val="000000" w:themeColor="text1"/>
          <w:sz w:val="24"/>
          <w:szCs w:val="24"/>
        </w:rPr>
        <w:t xml:space="preserve">a residential area at Blk. 21, L. 14, </w:t>
      </w:r>
      <w:proofErr w:type="spellStart"/>
      <w:r w:rsidR="00AA3CC7" w:rsidRPr="0027107A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AA3CC7" w:rsidRPr="0027107A">
        <w:rPr>
          <w:rFonts w:ascii="Arial" w:eastAsia="Arial" w:hAnsi="Arial" w:cs="Arial"/>
          <w:color w:val="000000" w:themeColor="text1"/>
          <w:sz w:val="24"/>
          <w:szCs w:val="24"/>
        </w:rPr>
        <w:t xml:space="preserve">. 187, Pasay City. </w:t>
      </w:r>
      <w:r w:rsidR="00DF4AA2" w:rsidRPr="0027107A">
        <w:rPr>
          <w:rFonts w:ascii="Arial" w:eastAsia="Arial" w:hAnsi="Arial" w:cs="Arial"/>
          <w:color w:val="000000" w:themeColor="text1"/>
          <w:sz w:val="24"/>
          <w:szCs w:val="24"/>
        </w:rPr>
        <w:t xml:space="preserve">The fire was </w:t>
      </w:r>
      <w:r w:rsidR="00214845" w:rsidRPr="0027107A">
        <w:rPr>
          <w:rFonts w:ascii="Arial" w:eastAsia="Arial" w:hAnsi="Arial" w:cs="Arial"/>
          <w:color w:val="000000" w:themeColor="text1"/>
          <w:sz w:val="24"/>
          <w:szCs w:val="24"/>
        </w:rPr>
        <w:t>put under control</w:t>
      </w:r>
      <w:r w:rsidR="00DF4AA2" w:rsidRPr="0027107A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AA3CC7" w:rsidRPr="0027107A">
        <w:rPr>
          <w:rFonts w:ascii="Arial" w:eastAsia="Arial" w:hAnsi="Arial" w:cs="Arial"/>
          <w:color w:val="000000" w:themeColor="text1"/>
          <w:sz w:val="24"/>
          <w:szCs w:val="24"/>
        </w:rPr>
        <w:t>6P</w:t>
      </w:r>
      <w:r w:rsidR="00DF4AA2" w:rsidRPr="0027107A">
        <w:rPr>
          <w:rFonts w:ascii="Arial" w:eastAsia="Arial" w:hAnsi="Arial" w:cs="Arial"/>
          <w:color w:val="000000" w:themeColor="text1"/>
          <w:sz w:val="24"/>
          <w:szCs w:val="24"/>
        </w:rPr>
        <w:t>M. The cause of fire is under investigation.</w:t>
      </w:r>
    </w:p>
    <w:p w14:paraId="0C96463D" w14:textId="7B75E41A" w:rsidR="00F35540" w:rsidRPr="0027107A" w:rsidRDefault="00AE4967" w:rsidP="0027107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27107A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27107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27107A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27107A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27107A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27107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27107A" w:rsidRDefault="00F35540" w:rsidP="0027107A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27107A" w:rsidRDefault="00FC54C7" w:rsidP="0027107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F1CE024" w:rsidR="00470FE4" w:rsidRPr="0027107A" w:rsidRDefault="0023610A" w:rsidP="0027107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7107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7107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52048" w:rsidRPr="0027107A">
        <w:rPr>
          <w:rFonts w:ascii="Arial" w:eastAsia="Arial" w:hAnsi="Arial" w:cs="Arial"/>
          <w:b/>
          <w:color w:val="0070C0"/>
          <w:sz w:val="24"/>
          <w:szCs w:val="24"/>
        </w:rPr>
        <w:t>76</w:t>
      </w:r>
      <w:r w:rsidR="00AA6CEC" w:rsidRPr="002710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27107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2710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27107A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271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52048" w:rsidRPr="0027107A">
        <w:rPr>
          <w:rFonts w:ascii="Arial" w:eastAsia="Arial" w:hAnsi="Arial" w:cs="Arial"/>
          <w:b/>
          <w:color w:val="0070C0"/>
          <w:sz w:val="24"/>
          <w:szCs w:val="24"/>
        </w:rPr>
        <w:t>254</w:t>
      </w:r>
      <w:r w:rsidR="00AA6CEC" w:rsidRPr="002710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27107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2710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27107A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271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27107A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271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27107A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271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27107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27107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752048" w:rsidRPr="0027107A">
        <w:rPr>
          <w:rFonts w:ascii="Arial" w:eastAsia="Arial" w:hAnsi="Arial" w:cs="Arial"/>
          <w:b/>
          <w:color w:val="0070C0"/>
          <w:sz w:val="24"/>
          <w:szCs w:val="24"/>
        </w:rPr>
        <w:t>187</w:t>
      </w:r>
      <w:r w:rsidR="00214845" w:rsidRPr="0027107A">
        <w:rPr>
          <w:rFonts w:ascii="Arial" w:eastAsia="Arial" w:hAnsi="Arial" w:cs="Arial"/>
          <w:b/>
          <w:color w:val="0070C0"/>
          <w:sz w:val="24"/>
          <w:szCs w:val="24"/>
        </w:rPr>
        <w:t xml:space="preserve">, Pasay </w:t>
      </w:r>
      <w:r w:rsidR="00DF4AA2" w:rsidRPr="0027107A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2710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27107A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27107A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271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27107A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27107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27107A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27107A" w:rsidRDefault="0074289B" w:rsidP="0027107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27107A" w:rsidRDefault="00FC54C7" w:rsidP="0027107A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27107A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27107A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27107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27107A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27107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27107A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27107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27107A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27107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27107A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27107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27107A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27107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27107A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27107A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27107A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5220"/>
        <w:gridCol w:w="1731"/>
        <w:gridCol w:w="1206"/>
        <w:gridCol w:w="1208"/>
      </w:tblGrid>
      <w:tr w:rsidR="00214845" w:rsidRPr="0027107A" w14:paraId="3B765FE9" w14:textId="77777777" w:rsidTr="0027107A">
        <w:trPr>
          <w:trHeight w:val="70"/>
        </w:trPr>
        <w:tc>
          <w:tcPr>
            <w:tcW w:w="2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AB0E81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5831AB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14845" w:rsidRPr="0027107A" w14:paraId="7F5CAEC7" w14:textId="77777777" w:rsidTr="0027107A">
        <w:trPr>
          <w:trHeight w:val="70"/>
        </w:trPr>
        <w:tc>
          <w:tcPr>
            <w:tcW w:w="2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5698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D3C9B5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EDD8FB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9DFD0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4845" w:rsidRPr="0027107A" w14:paraId="06859446" w14:textId="77777777" w:rsidTr="0027107A">
        <w:trPr>
          <w:trHeight w:val="27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E2111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67778C" w14:textId="6D6F49C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1FEC4" w14:textId="013E21A5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774ED" w14:textId="3F731783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</w:t>
            </w: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4845" w:rsidRPr="0027107A" w14:paraId="0C38C3A4" w14:textId="77777777" w:rsidTr="0027107A">
        <w:trPr>
          <w:trHeight w:val="27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960371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EE0DE" w14:textId="44C37FF0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55DD2" w14:textId="71C2E593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D0B78" w14:textId="4E850C30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</w:t>
            </w: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4845" w:rsidRPr="0027107A" w14:paraId="061FFA9A" w14:textId="77777777" w:rsidTr="0027107A">
        <w:trPr>
          <w:trHeight w:val="270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10DD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784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AF42" w14:textId="2A88757C" w:rsidR="00214845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76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5E01" w14:textId="2B0A97B8" w:rsidR="00214845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254</w:t>
            </w:r>
          </w:p>
        </w:tc>
      </w:tr>
    </w:tbl>
    <w:p w14:paraId="42CFFD81" w14:textId="77777777" w:rsidR="00C71101" w:rsidRPr="0027107A" w:rsidRDefault="00E04AE5" w:rsidP="0027107A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0C5A795" w14:textId="7FAEABEB" w:rsidR="00DF4AA2" w:rsidRPr="0027107A" w:rsidRDefault="00DF4AA2" w:rsidP="0027107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27107A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27107A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27107A" w:rsidRDefault="00F35540" w:rsidP="0027107A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27107A" w:rsidRDefault="00FC54C7" w:rsidP="0027107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27107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27107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27107A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0CD4C125" w:rsidR="00E04AE5" w:rsidRPr="0027107A" w:rsidRDefault="00EB153B" w:rsidP="0027107A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27107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27107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27107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27107A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52048" w:rsidRPr="0027107A">
        <w:rPr>
          <w:rFonts w:ascii="Arial" w:eastAsia="Arial" w:hAnsi="Arial" w:cs="Arial"/>
          <w:b/>
          <w:color w:val="0070C0"/>
          <w:sz w:val="24"/>
          <w:szCs w:val="24"/>
        </w:rPr>
        <w:t>76 families</w:t>
      </w:r>
      <w:r w:rsidR="00752048" w:rsidRPr="002710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52048" w:rsidRPr="0027107A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752048" w:rsidRPr="0027107A">
        <w:rPr>
          <w:rFonts w:ascii="Arial" w:eastAsia="Arial" w:hAnsi="Arial" w:cs="Arial"/>
          <w:b/>
          <w:color w:val="0070C0"/>
          <w:sz w:val="24"/>
          <w:szCs w:val="24"/>
        </w:rPr>
        <w:t xml:space="preserve">254 persons </w:t>
      </w:r>
      <w:r w:rsidR="0074289B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52048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7107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Barangay’s </w:t>
      </w:r>
      <w:r w:rsidR="00752048" w:rsidRPr="0027107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Covered Court </w:t>
      </w:r>
      <w:r w:rsidR="00C71101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27107A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27107A" w:rsidRDefault="001B7B64" w:rsidP="0027107A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27107A" w:rsidRDefault="006265AF" w:rsidP="0027107A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27107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8" w:type="pct"/>
        <w:tblInd w:w="355" w:type="dxa"/>
        <w:tblLook w:val="04A0" w:firstRow="1" w:lastRow="0" w:firstColumn="1" w:lastColumn="0" w:noHBand="0" w:noVBand="1"/>
      </w:tblPr>
      <w:tblGrid>
        <w:gridCol w:w="3870"/>
        <w:gridCol w:w="908"/>
        <w:gridCol w:w="910"/>
        <w:gridCol w:w="908"/>
        <w:gridCol w:w="910"/>
        <w:gridCol w:w="908"/>
        <w:gridCol w:w="910"/>
      </w:tblGrid>
      <w:tr w:rsidR="00214845" w:rsidRPr="0027107A" w14:paraId="661167BE" w14:textId="77777777" w:rsidTr="0027107A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2D398B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0547AF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9BFBA2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14845" w:rsidRPr="0027107A" w14:paraId="21D4A2BA" w14:textId="77777777" w:rsidTr="0027107A">
        <w:trPr>
          <w:trHeight w:val="20"/>
        </w:trPr>
        <w:tc>
          <w:tcPr>
            <w:tcW w:w="2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C176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92BF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59A324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14845" w:rsidRPr="0027107A" w14:paraId="2BE0D4FC" w14:textId="77777777" w:rsidTr="0027107A">
        <w:trPr>
          <w:trHeight w:val="20"/>
        </w:trPr>
        <w:tc>
          <w:tcPr>
            <w:tcW w:w="2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7CC7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DBDF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ADE456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1D876A" w14:textId="0F9D4AEC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4845" w:rsidRPr="0027107A" w14:paraId="60A74786" w14:textId="77777777" w:rsidTr="0027107A">
        <w:trPr>
          <w:trHeight w:val="20"/>
        </w:trPr>
        <w:tc>
          <w:tcPr>
            <w:tcW w:w="2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9B8A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F6EEBA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311723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514AB9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AC46BE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22AEF4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9EAEDE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52048" w:rsidRPr="0027107A" w14:paraId="1BB4C14B" w14:textId="77777777" w:rsidTr="0027107A">
        <w:trPr>
          <w:trHeight w:val="20"/>
        </w:trPr>
        <w:tc>
          <w:tcPr>
            <w:tcW w:w="2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0232DC" w14:textId="7777777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66002F" w14:textId="7703BCC4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21D1E3" w14:textId="76860CE9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7D9786" w14:textId="4867B715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2AFA5F" w14:textId="2DFD9F19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D3F0BE" w14:textId="5C7ACCF8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787E1" w14:textId="21263F9F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</w:tr>
      <w:tr w:rsidR="00752048" w:rsidRPr="0027107A" w14:paraId="34A37D49" w14:textId="77777777" w:rsidTr="0027107A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682C12" w14:textId="7777777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F6F81" w14:textId="41A936D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156DD9" w14:textId="32E94A26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3F8B8" w14:textId="4280743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99159" w14:textId="5F721F41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76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19C964" w14:textId="644C490B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FD4CB" w14:textId="2937291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254 </w:t>
            </w:r>
          </w:p>
        </w:tc>
      </w:tr>
      <w:tr w:rsidR="00752048" w:rsidRPr="0027107A" w14:paraId="0A044998" w14:textId="77777777" w:rsidTr="0027107A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A3800" w14:textId="7777777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5A13" w14:textId="7777777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7154" w14:textId="7777777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F88F8" w14:textId="350A269D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669D6" w14:textId="5A941A15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76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D7051E" w14:textId="3A7AEF6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254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EC2997" w14:textId="2690519D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254</w:t>
            </w:r>
          </w:p>
        </w:tc>
      </w:tr>
    </w:tbl>
    <w:p w14:paraId="0CF61243" w14:textId="0CAA2621" w:rsidR="002D1B51" w:rsidRPr="0027107A" w:rsidRDefault="002D1B51" w:rsidP="0027107A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27107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3ED6E52" w14:textId="13B9F2B9" w:rsidR="00214845" w:rsidRPr="0027107A" w:rsidRDefault="00875F87" w:rsidP="002710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7107A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27107A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27107A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27107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27107A" w:rsidRDefault="00214845" w:rsidP="002710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27107A" w:rsidRDefault="003B4012" w:rsidP="0027107A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7107A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5E67945" w:rsidR="00D34D09" w:rsidRPr="0027107A" w:rsidRDefault="00D34D09" w:rsidP="0027107A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27107A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752048" w:rsidRPr="0027107A">
        <w:rPr>
          <w:rFonts w:ascii="Arial" w:hAnsi="Arial" w:cs="Arial"/>
          <w:b/>
          <w:color w:val="0070C0"/>
          <w:sz w:val="24"/>
          <w:szCs w:val="24"/>
        </w:rPr>
        <w:t xml:space="preserve">8 </w:t>
      </w:r>
      <w:r w:rsidRPr="0027107A">
        <w:rPr>
          <w:rFonts w:ascii="Arial" w:hAnsi="Arial" w:cs="Arial"/>
          <w:b/>
          <w:color w:val="0070C0"/>
          <w:sz w:val="24"/>
          <w:szCs w:val="24"/>
        </w:rPr>
        <w:t>houses</w:t>
      </w:r>
      <w:r w:rsidR="00D5186F" w:rsidRPr="0027107A">
        <w:rPr>
          <w:rFonts w:ascii="Arial" w:hAnsi="Arial" w:cs="Arial"/>
          <w:b/>
          <w:color w:val="0070C0"/>
          <w:sz w:val="24"/>
          <w:szCs w:val="24"/>
        </w:rPr>
        <w:t xml:space="preserve"> totally damaged</w:t>
      </w:r>
      <w:r w:rsidR="00D5186F" w:rsidRPr="0027107A">
        <w:rPr>
          <w:rFonts w:ascii="Arial" w:hAnsi="Arial" w:cs="Arial"/>
          <w:color w:val="0070C0"/>
          <w:sz w:val="24"/>
          <w:szCs w:val="24"/>
        </w:rPr>
        <w:t xml:space="preserve"> </w:t>
      </w:r>
      <w:r w:rsidR="00D5186F" w:rsidRPr="0027107A">
        <w:rPr>
          <w:rFonts w:ascii="Arial" w:hAnsi="Arial" w:cs="Arial"/>
          <w:color w:val="auto"/>
          <w:sz w:val="24"/>
          <w:szCs w:val="24"/>
        </w:rPr>
        <w:t xml:space="preserve">by the fire </w:t>
      </w:r>
      <w:r w:rsidRPr="0027107A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 w:rsidRPr="0027107A">
        <w:rPr>
          <w:rFonts w:ascii="Arial" w:hAnsi="Arial" w:cs="Arial"/>
          <w:color w:val="auto"/>
          <w:sz w:val="24"/>
          <w:szCs w:val="24"/>
        </w:rPr>
        <w:t>3</w:t>
      </w:r>
      <w:r w:rsidRPr="0027107A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Default="0027107A" w:rsidP="0027107A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590266EE" w:rsidR="00D34D09" w:rsidRPr="0027107A" w:rsidRDefault="00D34D09" w:rsidP="0027107A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27107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 w:rsidRPr="0027107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27107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27107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27107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3" w:type="pct"/>
        <w:tblInd w:w="355" w:type="dxa"/>
        <w:tblLook w:val="04A0" w:firstRow="1" w:lastRow="0" w:firstColumn="1" w:lastColumn="0" w:noHBand="0" w:noVBand="1"/>
      </w:tblPr>
      <w:tblGrid>
        <w:gridCol w:w="5490"/>
        <w:gridCol w:w="1274"/>
        <w:gridCol w:w="1276"/>
        <w:gridCol w:w="1274"/>
      </w:tblGrid>
      <w:tr w:rsidR="00214845" w:rsidRPr="0027107A" w14:paraId="2736BE5F" w14:textId="77777777" w:rsidTr="0027107A">
        <w:trPr>
          <w:trHeight w:val="70"/>
        </w:trPr>
        <w:tc>
          <w:tcPr>
            <w:tcW w:w="2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E9A58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40028" w14:textId="19840161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14845" w:rsidRPr="0027107A" w14:paraId="0149C5AA" w14:textId="77777777" w:rsidTr="0027107A">
        <w:trPr>
          <w:trHeight w:val="20"/>
        </w:trPr>
        <w:tc>
          <w:tcPr>
            <w:tcW w:w="2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FD50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6ABAC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4B582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415C4" w14:textId="77777777" w:rsidR="00214845" w:rsidRPr="0027107A" w:rsidRDefault="00214845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52048" w:rsidRPr="0027107A" w14:paraId="72CC13FF" w14:textId="77777777" w:rsidTr="0027107A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4F241" w14:textId="7777777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E7742" w14:textId="2526852E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22266" w14:textId="3BB719AF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E93F8" w14:textId="003375DF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52048" w:rsidRPr="0027107A" w14:paraId="353A022D" w14:textId="77777777" w:rsidTr="0027107A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81287" w14:textId="7777777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864F" w14:textId="32FA880A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C4031" w14:textId="3510F7E6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77A2E" w14:textId="79CB54D4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52048" w:rsidRPr="0027107A" w14:paraId="626DF184" w14:textId="77777777" w:rsidTr="0027107A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4AEC" w14:textId="7777777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F9A7" w14:textId="01E7FBD4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652B" w14:textId="67AB26FD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F2DF" w14:textId="77777777" w:rsidR="00752048" w:rsidRPr="0027107A" w:rsidRDefault="00752048" w:rsidP="0027107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7107A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27107A" w:rsidRDefault="005512D5" w:rsidP="0027107A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27107A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27107A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27107A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20B66604" w14:textId="7BE2F2E4" w:rsidR="005512D5" w:rsidRPr="0027107A" w:rsidRDefault="00D34D09" w:rsidP="002710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7107A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27107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C8D110F" w14:textId="3F1DA9D1" w:rsidR="00214845" w:rsidRPr="0027107A" w:rsidRDefault="00214845" w:rsidP="002710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087EA1" w14:textId="10EEE02D" w:rsidR="00D5186F" w:rsidRPr="0027107A" w:rsidRDefault="00D5186F" w:rsidP="002710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34539C9" w14:textId="03D87054" w:rsidR="005512D5" w:rsidRPr="0027107A" w:rsidRDefault="005512D5" w:rsidP="002710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27107A" w:rsidRDefault="00FC54C7" w:rsidP="0027107A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27107A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27107A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27107A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27107A" w:rsidRDefault="001B7B64" w:rsidP="002710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27107A" w:rsidRDefault="003D0AEA" w:rsidP="002710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7107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27107A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27107A" w:rsidRDefault="003D0AEA" w:rsidP="002710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27107A" w:rsidRDefault="003D0AEA" w:rsidP="002710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7107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7107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7107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27107A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32C246A5" w:rsidR="003D0AEA" w:rsidRPr="0027107A" w:rsidRDefault="001E6459" w:rsidP="0027107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27 February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27107A" w:rsidRDefault="003D0AEA" w:rsidP="0027107A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27107A" w:rsidRDefault="00B25F5C" w:rsidP="0027107A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27107A" w:rsidRDefault="00FC54C7" w:rsidP="0027107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27107A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27107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27107A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27107A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27107A" w:rsidRDefault="00FC54C7" w:rsidP="0027107A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27107A" w:rsidRDefault="00FC54C7" w:rsidP="0027107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7107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7107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7107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7107A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7107A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601BCDBD" w:rsidR="0095060C" w:rsidRPr="0027107A" w:rsidRDefault="001E6459" w:rsidP="0027107A">
            <w:pPr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27 February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5F4C" w14:textId="5EC4FFF7" w:rsidR="001E6459" w:rsidRPr="0027107A" w:rsidRDefault="000908DF" w:rsidP="0027107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D5186F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 w:rsidR="001E6459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currently facilitating the provision of welfare goods to the affected families </w:t>
            </w:r>
            <w:r w:rsid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</w:t>
            </w:r>
            <w:r w:rsidR="001E6459"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 request of Pasay City Social Welfare and Development Office (CSWDO).</w:t>
            </w:r>
          </w:p>
          <w:p w14:paraId="2BDFEDAC" w14:textId="5A36C5BA" w:rsidR="0066019E" w:rsidRPr="0027107A" w:rsidRDefault="001E6459" w:rsidP="0027107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basic necessities of the families affected such as food and water are continuously being facilitated by the Pasay </w:t>
            </w:r>
            <w:r w:rsid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CSWDO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. Hence, </w:t>
            </w:r>
            <w:r w:rsid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it </w:t>
            </w:r>
            <w:r w:rsidRPr="0027107A">
              <w:rPr>
                <w:rFonts w:ascii="Arial" w:eastAsia="Arial" w:hAnsi="Arial" w:cs="Arial"/>
                <w:color w:val="0070C0"/>
                <w:sz w:val="20"/>
                <w:szCs w:val="20"/>
              </w:rPr>
              <w:t>will continuously assess and monitor the needs of the affected families until they recover from the incident.</w:t>
            </w:r>
          </w:p>
        </w:tc>
      </w:tr>
    </w:tbl>
    <w:p w14:paraId="5EE2023A" w14:textId="350E12AD" w:rsidR="0022209F" w:rsidRPr="0027107A" w:rsidRDefault="0022209F" w:rsidP="0027107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7107A" w:rsidRDefault="00FC54C7" w:rsidP="002710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7107A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27107A" w:rsidRDefault="006265AF" w:rsidP="0027107A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710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27107A" w:rsidRDefault="00D6454A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27107A" w:rsidRDefault="00115608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CB0EA3" w14:textId="77777777" w:rsidR="0027107A" w:rsidRDefault="0027107A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0046D0F6" w:rsidR="00DF4AA2" w:rsidRPr="0027107A" w:rsidRDefault="00DF4AA2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7107A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024C447E" w:rsidR="00DF4AA2" w:rsidRDefault="00DF4AA2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EC5A09" w14:textId="77777777" w:rsidR="0027107A" w:rsidRPr="0027107A" w:rsidRDefault="0027107A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27107A" w:rsidRDefault="00DF4AA2" w:rsidP="0027107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7107A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27107A" w:rsidRDefault="00DF4AA2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27107A" w:rsidRDefault="00DF4AA2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26F013F8" w:rsidR="00DF4AA2" w:rsidRPr="0027107A" w:rsidRDefault="001E6459" w:rsidP="0027107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7107A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77777777" w:rsidR="00DF4AA2" w:rsidRPr="0027107A" w:rsidRDefault="00DF4AA2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 w:rsidRPr="0027107A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27107A" w:rsidRDefault="00584FCB" w:rsidP="0027107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27107A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D608" w14:textId="77777777" w:rsidR="00827D7E" w:rsidRDefault="00827D7E">
      <w:pPr>
        <w:spacing w:after="0" w:line="240" w:lineRule="auto"/>
      </w:pPr>
      <w:r>
        <w:separator/>
      </w:r>
    </w:p>
  </w:endnote>
  <w:endnote w:type="continuationSeparator" w:id="0">
    <w:p w14:paraId="2557ECED" w14:textId="77777777" w:rsidR="00827D7E" w:rsidRDefault="0082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C2E1F7D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5204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5204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06FA4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proofErr w:type="spellEnd"/>
    <w:r w:rsidR="00106FA4">
      <w:rPr>
        <w:rFonts w:ascii="Arial" w:hAnsi="Arial" w:cs="Arial"/>
        <w:sz w:val="14"/>
        <w:szCs w:val="16"/>
      </w:rPr>
      <w:t xml:space="preserve">. </w:t>
    </w:r>
    <w:r w:rsidR="00AA3CC7">
      <w:rPr>
        <w:rFonts w:ascii="Arial" w:hAnsi="Arial" w:cs="Arial"/>
        <w:sz w:val="14"/>
        <w:szCs w:val="16"/>
      </w:rPr>
      <w:t>187</w:t>
    </w:r>
    <w:r w:rsidR="00D5186F">
      <w:rPr>
        <w:rFonts w:ascii="Arial" w:hAnsi="Arial" w:cs="Arial"/>
        <w:sz w:val="14"/>
        <w:szCs w:val="16"/>
      </w:rPr>
      <w:t>, Pasay</w:t>
    </w:r>
    <w:r w:rsidR="00106FA4">
      <w:rPr>
        <w:rFonts w:ascii="Arial" w:hAnsi="Arial" w:cs="Arial"/>
        <w:sz w:val="14"/>
        <w:szCs w:val="16"/>
      </w:rPr>
      <w:t xml:space="preserve"> City </w:t>
    </w:r>
    <w:r w:rsidR="009743A1" w:rsidRPr="009743A1">
      <w:rPr>
        <w:rFonts w:ascii="Arial" w:hAnsi="Arial" w:cs="Arial"/>
        <w:sz w:val="14"/>
        <w:szCs w:val="16"/>
      </w:rPr>
      <w:t xml:space="preserve">as of </w:t>
    </w:r>
    <w:r w:rsidR="00AA3CC7">
      <w:rPr>
        <w:rFonts w:ascii="Arial" w:hAnsi="Arial" w:cs="Arial"/>
        <w:sz w:val="14"/>
        <w:szCs w:val="16"/>
      </w:rPr>
      <w:t>27 February 2021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90D9" w14:textId="77777777" w:rsidR="00827D7E" w:rsidRDefault="00827D7E">
      <w:pPr>
        <w:spacing w:after="0" w:line="240" w:lineRule="auto"/>
      </w:pPr>
      <w:r>
        <w:separator/>
      </w:r>
    </w:p>
  </w:footnote>
  <w:footnote w:type="continuationSeparator" w:id="0">
    <w:p w14:paraId="6D3717B9" w14:textId="77777777" w:rsidR="00827D7E" w:rsidRDefault="0082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2"/>
  </w:num>
  <w:num w:numId="5">
    <w:abstractNumId w:val="9"/>
  </w:num>
  <w:num w:numId="6">
    <w:abstractNumId w:val="18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F414-81C5-4673-A6B3-E76F483F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3</cp:revision>
  <dcterms:created xsi:type="dcterms:W3CDTF">2021-02-27T06:15:00Z</dcterms:created>
  <dcterms:modified xsi:type="dcterms:W3CDTF">2021-02-27T06:32:00Z</dcterms:modified>
</cp:coreProperties>
</file>