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7C171A9D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0E644A">
        <w:rPr>
          <w:rFonts w:ascii="Arial" w:eastAsia="Arial" w:hAnsi="Arial" w:cs="Arial"/>
          <w:b/>
          <w:sz w:val="32"/>
          <w:szCs w:val="32"/>
        </w:rPr>
        <w:t>8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1CF1F3CF" w:rsidR="00000CC0" w:rsidRPr="00E52A51" w:rsidRDefault="001A7FD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Effects of Weather Disturbances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5C42B7ED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C24C82">
        <w:rPr>
          <w:rFonts w:ascii="Arial" w:eastAsia="Arial" w:hAnsi="Arial" w:cs="Arial"/>
          <w:sz w:val="24"/>
          <w:szCs w:val="24"/>
        </w:rPr>
        <w:t>0</w:t>
      </w:r>
      <w:r w:rsidR="000E644A">
        <w:rPr>
          <w:rFonts w:ascii="Arial" w:eastAsia="Arial" w:hAnsi="Arial" w:cs="Arial"/>
          <w:sz w:val="24"/>
          <w:szCs w:val="24"/>
        </w:rPr>
        <w:t>7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C24C82">
        <w:rPr>
          <w:rFonts w:ascii="Arial" w:eastAsia="Arial" w:hAnsi="Arial" w:cs="Arial"/>
          <w:sz w:val="24"/>
          <w:szCs w:val="24"/>
        </w:rPr>
        <w:t>March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AF0D0B" w14:textId="5700D12C" w:rsidR="001A7FD4" w:rsidRPr="00E52A51" w:rsidRDefault="001A7FD4" w:rsidP="001A7F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7FD4">
        <w:rPr>
          <w:rFonts w:ascii="Arial" w:eastAsia="Arial" w:hAnsi="Arial" w:cs="Arial"/>
          <w:sz w:val="24"/>
          <w:szCs w:val="24"/>
        </w:rPr>
        <w:t xml:space="preserve">On 08 February 2021,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E62FC1" w:rsidRPr="001A7FD4">
        <w:rPr>
          <w:rFonts w:ascii="Arial" w:eastAsia="Arial" w:hAnsi="Arial" w:cs="Arial"/>
          <w:sz w:val="24"/>
          <w:szCs w:val="24"/>
        </w:rPr>
        <w:t>Low-Pressure</w:t>
      </w:r>
      <w:r w:rsidRPr="001A7FD4">
        <w:rPr>
          <w:rFonts w:ascii="Arial" w:eastAsia="Arial" w:hAnsi="Arial" w:cs="Arial"/>
          <w:sz w:val="24"/>
          <w:szCs w:val="24"/>
        </w:rPr>
        <w:t xml:space="preserve"> Area (LPA) </w:t>
      </w:r>
      <w:r>
        <w:rPr>
          <w:rFonts w:ascii="Arial" w:eastAsia="Arial" w:hAnsi="Arial" w:cs="Arial"/>
          <w:sz w:val="24"/>
          <w:szCs w:val="24"/>
        </w:rPr>
        <w:t>was last spotted at about 580</w:t>
      </w:r>
      <w:r w:rsidR="003064C8">
        <w:rPr>
          <w:rFonts w:ascii="Arial" w:eastAsia="Arial" w:hAnsi="Arial" w:cs="Arial"/>
          <w:sz w:val="24"/>
          <w:szCs w:val="24"/>
        </w:rPr>
        <w:t>km e</w:t>
      </w:r>
      <w:r w:rsidRPr="001A7FD4">
        <w:rPr>
          <w:rFonts w:ascii="Arial" w:eastAsia="Arial" w:hAnsi="Arial" w:cs="Arial"/>
          <w:sz w:val="24"/>
          <w:szCs w:val="24"/>
        </w:rPr>
        <w:t>ast</w:t>
      </w:r>
      <w:r w:rsidR="003064C8">
        <w:rPr>
          <w:rFonts w:ascii="Arial" w:eastAsia="Arial" w:hAnsi="Arial" w:cs="Arial"/>
          <w:sz w:val="24"/>
          <w:szCs w:val="24"/>
        </w:rPr>
        <w:t xml:space="preserve"> </w:t>
      </w:r>
      <w:r w:rsidRPr="001A7FD4">
        <w:rPr>
          <w:rFonts w:ascii="Arial" w:eastAsia="Arial" w:hAnsi="Arial" w:cs="Arial"/>
          <w:sz w:val="24"/>
          <w:szCs w:val="24"/>
        </w:rPr>
        <w:t>of Davao City and lasted for more than 24 hours. Tail-end of a Frontal System</w:t>
      </w:r>
      <w:r w:rsidR="003064C8">
        <w:rPr>
          <w:rFonts w:ascii="Arial" w:eastAsia="Arial" w:hAnsi="Arial" w:cs="Arial"/>
          <w:sz w:val="24"/>
          <w:szCs w:val="24"/>
        </w:rPr>
        <w:t xml:space="preserve"> continuously affects</w:t>
      </w:r>
      <w:r>
        <w:rPr>
          <w:rFonts w:ascii="Arial" w:eastAsia="Arial" w:hAnsi="Arial" w:cs="Arial"/>
          <w:sz w:val="24"/>
          <w:szCs w:val="24"/>
        </w:rPr>
        <w:t xml:space="preserve"> the Eastern V</w:t>
      </w:r>
      <w:r w:rsidRPr="001A7FD4">
        <w:rPr>
          <w:rFonts w:ascii="Arial" w:eastAsia="Arial" w:hAnsi="Arial" w:cs="Arial"/>
          <w:sz w:val="24"/>
          <w:szCs w:val="24"/>
        </w:rPr>
        <w:t xml:space="preserve">isayas with cloudy skies, scattered </w:t>
      </w:r>
      <w:r w:rsidR="00861975" w:rsidRPr="001A7FD4">
        <w:rPr>
          <w:rFonts w:ascii="Arial" w:eastAsia="Arial" w:hAnsi="Arial" w:cs="Arial"/>
          <w:sz w:val="24"/>
          <w:szCs w:val="24"/>
        </w:rPr>
        <w:t>rain showers</w:t>
      </w:r>
      <w:r w:rsidRPr="001A7FD4">
        <w:rPr>
          <w:rFonts w:ascii="Arial" w:eastAsia="Arial" w:hAnsi="Arial" w:cs="Arial"/>
          <w:sz w:val="24"/>
          <w:szCs w:val="24"/>
        </w:rPr>
        <w:t xml:space="preserve"> and thunderstorms.</w:t>
      </w:r>
      <w:r>
        <w:rPr>
          <w:rFonts w:ascii="Arial" w:eastAsia="Arial" w:hAnsi="Arial" w:cs="Arial"/>
          <w:sz w:val="24"/>
          <w:szCs w:val="24"/>
        </w:rPr>
        <w:t xml:space="preserve"> Due to </w:t>
      </w:r>
      <w:r w:rsidRPr="001A7FD4">
        <w:rPr>
          <w:rFonts w:ascii="Arial" w:eastAsia="Arial" w:hAnsi="Arial" w:cs="Arial"/>
          <w:sz w:val="24"/>
          <w:szCs w:val="24"/>
        </w:rPr>
        <w:t>prolonged periods of rainfall</w:t>
      </w:r>
      <w:r>
        <w:rPr>
          <w:rFonts w:ascii="Arial" w:eastAsia="Arial" w:hAnsi="Arial" w:cs="Arial"/>
          <w:sz w:val="24"/>
          <w:szCs w:val="24"/>
        </w:rPr>
        <w:t xml:space="preserve"> brought by these weather disturbances, flooding occurred in areas that are highly or </w:t>
      </w:r>
      <w:r w:rsidRPr="001A7FD4">
        <w:rPr>
          <w:rFonts w:ascii="Arial" w:eastAsia="Arial" w:hAnsi="Arial" w:cs="Arial"/>
          <w:sz w:val="24"/>
          <w:szCs w:val="24"/>
        </w:rPr>
        <w:t>very highly susceptible to these hazard</w:t>
      </w:r>
      <w:r>
        <w:rPr>
          <w:rFonts w:ascii="Arial" w:eastAsia="Arial" w:hAnsi="Arial" w:cs="Arial"/>
          <w:sz w:val="24"/>
          <w:szCs w:val="24"/>
        </w:rPr>
        <w:t>s</w:t>
      </w:r>
      <w:r w:rsidRPr="001A7FD4">
        <w:rPr>
          <w:rFonts w:ascii="Arial" w:eastAsia="Arial" w:hAnsi="Arial" w:cs="Arial"/>
          <w:sz w:val="24"/>
          <w:szCs w:val="24"/>
        </w:rPr>
        <w:t>.</w:t>
      </w:r>
    </w:p>
    <w:p w14:paraId="6A39A969" w14:textId="6B12C627" w:rsidR="00697CE0" w:rsidRPr="00E52A51" w:rsidRDefault="00D47079" w:rsidP="001A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07D048C" w:rsidR="000146D5" w:rsidRPr="00C24C82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4C82">
        <w:rPr>
          <w:rFonts w:ascii="Arial" w:eastAsia="Arial" w:hAnsi="Arial" w:cs="Arial"/>
          <w:sz w:val="24"/>
          <w:szCs w:val="24"/>
        </w:rPr>
        <w:t xml:space="preserve">A total of 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>2</w:t>
      </w:r>
      <w:r w:rsidR="009C035C" w:rsidRPr="00C24C82">
        <w:rPr>
          <w:rFonts w:ascii="Arial" w:eastAsia="Arial" w:hAnsi="Arial" w:cs="Arial"/>
          <w:b/>
          <w:sz w:val="24"/>
          <w:szCs w:val="24"/>
        </w:rPr>
        <w:t>8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>,</w:t>
      </w:r>
      <w:r w:rsidR="009C035C" w:rsidRPr="00C24C82">
        <w:rPr>
          <w:rFonts w:ascii="Arial" w:eastAsia="Arial" w:hAnsi="Arial" w:cs="Arial"/>
          <w:b/>
          <w:sz w:val="24"/>
          <w:szCs w:val="24"/>
        </w:rPr>
        <w:t>203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4C82">
        <w:rPr>
          <w:rFonts w:ascii="Arial" w:eastAsia="Arial" w:hAnsi="Arial" w:cs="Arial"/>
          <w:b/>
          <w:sz w:val="24"/>
          <w:szCs w:val="24"/>
        </w:rPr>
        <w:t>families</w:t>
      </w:r>
      <w:r w:rsidRPr="00C24C82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4C82">
        <w:rPr>
          <w:rFonts w:ascii="Arial" w:eastAsia="Arial" w:hAnsi="Arial" w:cs="Arial"/>
          <w:sz w:val="24"/>
          <w:szCs w:val="24"/>
        </w:rPr>
        <w:t xml:space="preserve">or </w:t>
      </w:r>
      <w:r w:rsidR="009C035C" w:rsidRPr="00C24C82">
        <w:rPr>
          <w:rFonts w:ascii="Arial" w:eastAsia="Arial" w:hAnsi="Arial" w:cs="Arial"/>
          <w:b/>
          <w:sz w:val="24"/>
          <w:szCs w:val="24"/>
        </w:rPr>
        <w:t>136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>,</w:t>
      </w:r>
      <w:r w:rsidR="009C035C" w:rsidRPr="00C24C82">
        <w:rPr>
          <w:rFonts w:ascii="Arial" w:eastAsia="Arial" w:hAnsi="Arial" w:cs="Arial"/>
          <w:b/>
          <w:sz w:val="24"/>
          <w:szCs w:val="24"/>
        </w:rPr>
        <w:t>727</w:t>
      </w:r>
      <w:r w:rsidR="00363B6B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4C82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4C82">
        <w:rPr>
          <w:rFonts w:ascii="Arial" w:eastAsia="Arial" w:hAnsi="Arial" w:cs="Arial"/>
          <w:sz w:val="24"/>
          <w:szCs w:val="24"/>
        </w:rPr>
        <w:t>were</w:t>
      </w:r>
      <w:r w:rsidRPr="00C24C82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4C82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4C82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4C82">
        <w:rPr>
          <w:rFonts w:ascii="Arial" w:eastAsia="Arial" w:hAnsi="Arial" w:cs="Arial"/>
          <w:sz w:val="24"/>
          <w:szCs w:val="24"/>
        </w:rPr>
        <w:t>in</w:t>
      </w:r>
      <w:r w:rsidR="0008089C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="007932CF" w:rsidRPr="00C24C82">
        <w:rPr>
          <w:rFonts w:ascii="Arial" w:eastAsia="Arial" w:hAnsi="Arial" w:cs="Arial"/>
          <w:b/>
          <w:sz w:val="24"/>
          <w:szCs w:val="24"/>
        </w:rPr>
        <w:t>11</w:t>
      </w:r>
      <w:r w:rsidR="00204806" w:rsidRPr="00C24C82">
        <w:rPr>
          <w:rFonts w:ascii="Arial" w:eastAsia="Arial" w:hAnsi="Arial" w:cs="Arial"/>
          <w:b/>
          <w:sz w:val="24"/>
          <w:szCs w:val="24"/>
        </w:rPr>
        <w:t>6</w:t>
      </w:r>
      <w:r w:rsidR="00ED28EA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4C82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4C82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4C82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4C8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9C035C" w:rsidRPr="009C035C" w14:paraId="67A6489A" w14:textId="77777777" w:rsidTr="009C035C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77D7B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AFB4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C035C" w:rsidRPr="009C035C" w14:paraId="2CA0902F" w14:textId="77777777" w:rsidTr="009C035C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AAAB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EA1646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653F18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323B85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C035C" w:rsidRPr="009C035C" w14:paraId="519B7072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BE0C18" w14:textId="77777777" w:rsidR="009C035C" w:rsidRPr="009C035C" w:rsidRDefault="009C035C" w:rsidP="009C035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E2A62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DBB5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28,203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D85B2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136,727 </w:t>
            </w:r>
          </w:p>
        </w:tc>
      </w:tr>
      <w:tr w:rsidR="009C035C" w:rsidRPr="009C035C" w14:paraId="155042A1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35A51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0B883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4D76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28,203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78FB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136,727 </w:t>
            </w:r>
          </w:p>
        </w:tc>
      </w:tr>
      <w:tr w:rsidR="009C035C" w:rsidRPr="009C035C" w14:paraId="29EC3B57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8C56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A9D2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774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3,734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B824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15,006 </w:t>
            </w:r>
          </w:p>
        </w:tc>
      </w:tr>
      <w:tr w:rsidR="009C035C" w:rsidRPr="009C035C" w14:paraId="7713971A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D43C2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4A7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5FD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801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1,135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9772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4,610 </w:t>
            </w:r>
          </w:p>
        </w:tc>
      </w:tr>
      <w:tr w:rsidR="009C035C" w:rsidRPr="009C035C" w14:paraId="32226A67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B9D4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DDC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B92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2C6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2,510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D1A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10,040 </w:t>
            </w:r>
          </w:p>
        </w:tc>
      </w:tr>
      <w:tr w:rsidR="009C035C" w:rsidRPr="009C035C" w14:paraId="0B574F5B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BD0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4D3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4678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73D5E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03D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356 </w:t>
            </w:r>
          </w:p>
        </w:tc>
      </w:tr>
      <w:tr w:rsidR="009C035C" w:rsidRPr="009C035C" w14:paraId="11F01376" w14:textId="77777777" w:rsidTr="009C035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C077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6221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105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5998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24,469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EAD9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121,721 </w:t>
            </w:r>
          </w:p>
        </w:tc>
      </w:tr>
      <w:tr w:rsidR="009C035C" w:rsidRPr="009C035C" w14:paraId="19A67387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7424D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2CB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393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F756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791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62B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3,955 </w:t>
            </w:r>
          </w:p>
        </w:tc>
      </w:tr>
      <w:tr w:rsidR="009C035C" w:rsidRPr="009C035C" w14:paraId="07C39E98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AB23A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150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3F54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6EC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2,383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AC67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11,736 </w:t>
            </w:r>
          </w:p>
        </w:tc>
      </w:tr>
      <w:tr w:rsidR="009C035C" w:rsidRPr="009C035C" w14:paraId="68234B74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7E23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5BC0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A89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B2E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5,696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052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28,480 </w:t>
            </w:r>
          </w:p>
        </w:tc>
      </w:tr>
      <w:tr w:rsidR="009C035C" w:rsidRPr="009C035C" w14:paraId="736FD4AE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29249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B8A3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0EF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299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4,636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567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23,180 </w:t>
            </w:r>
          </w:p>
        </w:tc>
      </w:tr>
      <w:tr w:rsidR="009C035C" w:rsidRPr="009C035C" w14:paraId="1ED43EB3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F1C5C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C6B9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5DC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97F1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233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E8C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720 </w:t>
            </w:r>
          </w:p>
        </w:tc>
      </w:tr>
      <w:tr w:rsidR="009C035C" w:rsidRPr="009C035C" w14:paraId="4F963E16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242E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D9AC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509B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4233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4,000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5A9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20,000 </w:t>
            </w:r>
          </w:p>
        </w:tc>
      </w:tr>
      <w:tr w:rsidR="009C035C" w:rsidRPr="009C035C" w14:paraId="7F192209" w14:textId="77777777" w:rsidTr="009C035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8A4F0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67F2" w14:textId="77777777" w:rsidR="009C035C" w:rsidRPr="009C035C" w:rsidRDefault="009C035C" w:rsidP="009C035C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AA2C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2C2F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6,730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C485" w14:textId="77777777" w:rsidR="009C035C" w:rsidRPr="009C035C" w:rsidRDefault="009C035C" w:rsidP="009C035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C035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33,650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2A582325" w:rsidR="00031EBA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2491BAF" w14:textId="77777777" w:rsidR="00707396" w:rsidRPr="00F670AF" w:rsidRDefault="00707396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9378D5" w14:textId="77777777" w:rsidR="007932CF" w:rsidRDefault="00031EBA" w:rsidP="007932C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932C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CB5B3AC" w:rsidR="00031EBA" w:rsidRPr="00791620" w:rsidRDefault="00031EBA" w:rsidP="007932C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9162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7,253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families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35,520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persons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91620">
        <w:rPr>
          <w:rFonts w:ascii="Arial" w:eastAsia="Arial" w:hAnsi="Arial" w:cs="Arial"/>
          <w:bCs/>
          <w:sz w:val="24"/>
          <w:szCs w:val="24"/>
        </w:rPr>
        <w:t>took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971644" w:rsidRPr="00971644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2B11A3" w:rsidRPr="00971644">
        <w:rPr>
          <w:rFonts w:ascii="Arial" w:eastAsia="Arial" w:hAnsi="Arial" w:cs="Arial"/>
          <w:b/>
          <w:sz w:val="24"/>
          <w:szCs w:val="24"/>
        </w:rPr>
        <w:t>8</w:t>
      </w:r>
      <w:r w:rsidR="00971644" w:rsidRPr="00971644">
        <w:rPr>
          <w:rFonts w:ascii="Arial" w:eastAsia="Arial" w:hAnsi="Arial" w:cs="Arial"/>
          <w:b/>
          <w:sz w:val="24"/>
          <w:szCs w:val="24"/>
        </w:rPr>
        <w:t>)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evacuation center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Eastern Visayas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7932C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73"/>
        <w:gridCol w:w="3530"/>
        <w:gridCol w:w="914"/>
        <w:gridCol w:w="921"/>
        <w:gridCol w:w="915"/>
        <w:gridCol w:w="921"/>
        <w:gridCol w:w="915"/>
        <w:gridCol w:w="914"/>
      </w:tblGrid>
      <w:tr w:rsidR="002B11A3" w:rsidRPr="002B11A3" w14:paraId="543D5D06" w14:textId="77777777" w:rsidTr="002B11A3">
        <w:trPr>
          <w:trHeight w:val="20"/>
          <w:tblHeader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8F05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333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E974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B11A3" w:rsidRPr="002B11A3" w14:paraId="205ACFDF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82C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C13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3257DE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B11A3" w:rsidRPr="002B11A3" w14:paraId="5281A759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5B2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96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C92CE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CCE53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(Actual) </w:t>
            </w:r>
          </w:p>
        </w:tc>
      </w:tr>
      <w:tr w:rsidR="002B11A3" w:rsidRPr="002B11A3" w14:paraId="6F0C298A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8A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3616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4B92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9480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D3FE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9A1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709B8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B11A3" w:rsidRPr="002B11A3" w14:paraId="5F196EE7" w14:textId="77777777" w:rsidTr="002B11A3">
        <w:trPr>
          <w:trHeight w:val="20"/>
          <w:tblHeader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DF6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F5BF9" w14:textId="72351BC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8127C" w14:textId="1512CD3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ED46" w14:textId="37313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0622F" w14:textId="3F3F724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3710D" w14:textId="112F45D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4E09B" w14:textId="0173C1D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51424D61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C0708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9D85E" w14:textId="478DD0B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E423A" w14:textId="62E809E1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F67C3" w14:textId="52A682C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C82A0" w14:textId="412503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C0559" w14:textId="5E0C45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5FD47" w14:textId="64FB35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96D7E83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F721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956EB" w14:textId="577FD3F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8386F" w14:textId="11CCC4E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C39B" w14:textId="04F0EF1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1DD82" w14:textId="557EFC2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BBA03" w14:textId="6889657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BF39B" w14:textId="472A91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69624C6B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B5583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47F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Arteche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FCF1" w14:textId="0581C33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917" w14:textId="4F05873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7265" w14:textId="77D14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AC5" w14:textId="008DD89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F562" w14:textId="2B48B6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84D2" w14:textId="7199BD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475F612D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AA6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DB899" w14:textId="40342DB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FB35B" w14:textId="378641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06181" w14:textId="741FF90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7,193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97B96" w14:textId="4810C60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70EA5" w14:textId="5F97A36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35,243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9B206" w14:textId="3AD6699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4981AC8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E2C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CB4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Alangalang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3DC5" w14:textId="55B3324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9A3C" w14:textId="5FB2FA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F0AC" w14:textId="6661418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E081" w14:textId="22AAF18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B5F7" w14:textId="41BAD5D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9D60" w14:textId="50D379A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5A015A9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39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13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0BFD" w14:textId="3CDB865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CBAA" w14:textId="3200AC9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2207" w14:textId="0B83D4E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2,383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6E9D" w14:textId="7B34323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517B" w14:textId="49373C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AA5B" w14:textId="7231B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A81CE4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5F6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C90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111D" w14:textId="3A1E1F5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8478" w14:textId="6330E86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97AE" w14:textId="7D4DAF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1,921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CEDE" w14:textId="6B0BF7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0A0" w14:textId="7271980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9,510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C23" w14:textId="073AF3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6E8268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6AE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890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BB9" w14:textId="4466FA4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9B45" w14:textId="66FBFAA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6F5A" w14:textId="596BCB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825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7588" w14:textId="5EDE3B5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D832" w14:textId="7C5AB2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BE51" w14:textId="243AD7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04634C66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FC9C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38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Tanauan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F36" w14:textId="02581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46A" w14:textId="346B6C9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2A1" w14:textId="7388AEA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A873" w14:textId="5AA8D2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513" w14:textId="43FB174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56D0" w14:textId="3F472F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6E64FF2C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889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26A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9D04" w14:textId="4E995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9AF1" w14:textId="422326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C607" w14:textId="4D643F9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763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B00C" w14:textId="2F1968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63FF" w14:textId="1CBE939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3,815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ADA" w14:textId="4DB340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2B2D2900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1ABE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A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Dulag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1AA5" w14:textId="43CD9E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F85" w14:textId="64BB8DC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4A84" w14:textId="0E4F9F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1,013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84B1" w14:textId="4030B4B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52DE" w14:textId="27BA0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5,065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DCF3" w14:textId="0FEEDA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3A935B" w14:textId="70455A29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A139CD" w14:textId="195B853E" w:rsidR="002B11A3" w:rsidRPr="002B11A3" w:rsidRDefault="006D5F9C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6EECC29" w14:textId="77777777" w:rsidR="002B11A3" w:rsidRPr="009B51F6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11A3">
        <w:rPr>
          <w:rFonts w:ascii="Arial" w:eastAsia="Arial" w:hAnsi="Arial" w:cs="Arial"/>
          <w:b/>
          <w:sz w:val="24"/>
          <w:szCs w:val="24"/>
        </w:rPr>
        <w:t xml:space="preserve">15 houses </w:t>
      </w:r>
      <w:r w:rsidRPr="002B11A3">
        <w:rPr>
          <w:rFonts w:ascii="Arial" w:eastAsia="Arial" w:hAnsi="Arial" w:cs="Arial"/>
          <w:sz w:val="24"/>
          <w:szCs w:val="24"/>
        </w:rPr>
        <w:t xml:space="preserve">were </w:t>
      </w:r>
      <w:r w:rsidRPr="002B11A3">
        <w:rPr>
          <w:rFonts w:ascii="Arial" w:eastAsia="Arial" w:hAnsi="Arial" w:cs="Arial"/>
          <w:b/>
          <w:sz w:val="24"/>
          <w:szCs w:val="24"/>
        </w:rPr>
        <w:t>partially damaged</w:t>
      </w:r>
      <w:r w:rsidRPr="002B11A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due to the effects of the weather disturbances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121AFCFD" w14:textId="77777777" w:rsidR="002B11A3" w:rsidRPr="00071E24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30684350" w14:textId="77777777" w:rsidR="002B11A3" w:rsidRPr="00E52A51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2B11A3" w:rsidRPr="00707396" w14:paraId="5E48C8B0" w14:textId="77777777" w:rsidTr="008B1365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FE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40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11A3" w:rsidRPr="00707396" w14:paraId="1071E9BD" w14:textId="77777777" w:rsidTr="008B1365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033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674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385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D6E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11A3" w:rsidRPr="00707396" w14:paraId="5BA1CE3F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E9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696F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95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3549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1DEE6AA3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1E1A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B5C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16B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382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64B7CADB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B37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150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9E5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DE7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4FEB3A03" w14:textId="77777777" w:rsidTr="008B136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19E8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DE21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73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605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317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0E1D6860" w14:textId="77777777" w:rsidR="002B11A3" w:rsidRPr="00E52A51" w:rsidRDefault="002B11A3" w:rsidP="002B11A3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939D1D7" w14:textId="77777777" w:rsidR="002B11A3" w:rsidRPr="002B11A3" w:rsidRDefault="002B11A3" w:rsidP="002B11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4E50A5A0" w14:textId="77777777" w:rsidR="002B11A3" w:rsidRDefault="002B11A3" w:rsidP="002B11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8CD718" w14:textId="24E5BC32" w:rsidR="002B11A3" w:rsidRPr="002B11A3" w:rsidRDefault="002B11A3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11A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167CFDB" w14:textId="12207701" w:rsidR="002B11A3" w:rsidRPr="00363B6B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E644A" w:rsidRPr="000E644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4,422,523.62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to the affected families; of which,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E644A" w:rsidRPr="000E644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4,206,754.62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87AA6"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215,769.00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469DCFF0" w14:textId="77777777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2F3EF9B0" w14:textId="77777777" w:rsidR="002B11A3" w:rsidRDefault="002B11A3" w:rsidP="002B11A3">
      <w:pPr>
        <w:spacing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15"/>
        <w:gridCol w:w="1437"/>
        <w:gridCol w:w="1202"/>
        <w:gridCol w:w="664"/>
        <w:gridCol w:w="922"/>
        <w:gridCol w:w="1380"/>
      </w:tblGrid>
      <w:tr w:rsidR="000E644A" w:rsidRPr="000E644A" w14:paraId="5356FDEC" w14:textId="77777777" w:rsidTr="000E644A">
        <w:trPr>
          <w:trHeight w:val="2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5B160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27A35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E644A" w:rsidRPr="000E644A" w14:paraId="4ED681A0" w14:textId="77777777" w:rsidTr="000E644A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F85C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2E49F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983B3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E3EFE" w14:textId="1E9D22DC" w:rsidR="000E644A" w:rsidRPr="000E644A" w:rsidRDefault="000E644A" w:rsidP="000E64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95BA" w14:textId="7AEE22F3" w:rsidR="000E644A" w:rsidRPr="000E644A" w:rsidRDefault="000E644A" w:rsidP="000E64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D95C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E644A" w:rsidRPr="000E644A" w14:paraId="39663AEE" w14:textId="77777777" w:rsidTr="000E644A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F599E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DBD71" w14:textId="19326E1E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4,206,754.62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976FC" w14:textId="3EB737F6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80B5" w14:textId="12E9326C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46D74" w14:textId="4610C0E5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7E2D8" w14:textId="0BC4EB09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4,422,523.62 </w:t>
            </w:r>
          </w:p>
        </w:tc>
      </w:tr>
      <w:tr w:rsidR="000E644A" w:rsidRPr="000E644A" w14:paraId="4A7920BD" w14:textId="77777777" w:rsidTr="000E644A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F9AB9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F7205" w14:textId="1C796395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4,206,754.62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5CFE1" w14:textId="77EDFE27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4CF11" w14:textId="63C6D43B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8AF0B" w14:textId="4366014A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01A2E" w14:textId="3B4C5B36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4,422,523.62 </w:t>
            </w:r>
          </w:p>
        </w:tc>
      </w:tr>
      <w:tr w:rsidR="000E644A" w:rsidRPr="000E644A" w14:paraId="59712559" w14:textId="77777777" w:rsidTr="000E644A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9DE2F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D7DA6" w14:textId="7B53EC99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A3B92" w14:textId="6350A939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C29F4" w14:textId="18F2EDED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24E47" w14:textId="1B3A660D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1F56E" w14:textId="2A69B2C7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1,333,716.36 </w:t>
            </w:r>
          </w:p>
        </w:tc>
      </w:tr>
      <w:tr w:rsidR="000E644A" w:rsidRPr="000E644A" w14:paraId="0053E0CA" w14:textId="77777777" w:rsidTr="000E644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9D7F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0CFF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C4FC7" w14:textId="33FC3CA8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D6787" w14:textId="1D97C1CB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95E8A" w14:textId="33D735AC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CAC53" w14:textId="220AC6CA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BBDF9" w14:textId="12790A87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1,333,716.36 </w:t>
            </w:r>
          </w:p>
        </w:tc>
      </w:tr>
      <w:tr w:rsidR="000E644A" w:rsidRPr="000E644A" w14:paraId="50B1D363" w14:textId="77777777" w:rsidTr="000E644A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34501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03DE" w14:textId="48959A09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2,873,038.26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02EF8" w14:textId="2E431F91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6B955" w14:textId="683E88D9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0D888" w14:textId="2C503C04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FAD8D" w14:textId="1D1B34F4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3,088,807.26 </w:t>
            </w:r>
          </w:p>
        </w:tc>
      </w:tr>
      <w:tr w:rsidR="000E644A" w:rsidRPr="000E644A" w14:paraId="071A8E4F" w14:textId="77777777" w:rsidTr="000E644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75CA6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A246C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0E17" w14:textId="18D5D416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636,398.10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D4D70" w14:textId="32CC1E7F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0ADA9" w14:textId="0246B1E2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2FC6C" w14:textId="11A37BE6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6E69" w14:textId="4BA357BE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636,398.10 </w:t>
            </w:r>
          </w:p>
        </w:tc>
      </w:tr>
      <w:tr w:rsidR="000E644A" w:rsidRPr="000E644A" w14:paraId="6DB541A4" w14:textId="77777777" w:rsidTr="000E644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23036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05458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08DCF" w14:textId="322BF4E9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652,716.00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0FE0" w14:textId="0A16A2DF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6B766" w14:textId="7B602E9C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B8A4" w14:textId="5FCAF927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5DB2" w14:textId="11112B66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652,716.00 </w:t>
            </w:r>
          </w:p>
        </w:tc>
      </w:tr>
      <w:tr w:rsidR="000E644A" w:rsidRPr="000E644A" w14:paraId="0AF24C1D" w14:textId="77777777" w:rsidTr="000E644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41175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B075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47B7A" w14:textId="2EFE22F0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798,489.24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1E4A5" w14:textId="764332CB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D41F2" w14:textId="2E32209F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796A3" w14:textId="482C8AFF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ACE1F" w14:textId="15591350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798,489.24 </w:t>
            </w:r>
          </w:p>
        </w:tc>
      </w:tr>
      <w:tr w:rsidR="000E644A" w:rsidRPr="000E644A" w14:paraId="18C161E9" w14:textId="77777777" w:rsidTr="000E644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EA7A4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1ED69" w14:textId="77777777" w:rsidR="000E644A" w:rsidRPr="000E644A" w:rsidRDefault="000E644A" w:rsidP="000E64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D9CC7" w14:textId="34CC8ACB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785,434.92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44AA6" w14:textId="25F54F16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794D" w14:textId="30A82080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A6540" w14:textId="0773CF28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B1FD8" w14:textId="00DEF80B" w:rsidR="000E644A" w:rsidRPr="000E644A" w:rsidRDefault="000E644A" w:rsidP="000E64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1,001,203.92 </w:t>
            </w:r>
          </w:p>
        </w:tc>
      </w:tr>
    </w:tbl>
    <w:p w14:paraId="454B691F" w14:textId="09B442BF" w:rsidR="002B11A3" w:rsidRDefault="002B11A3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>
        <w:rPr>
          <w:rFonts w:ascii="Arial" w:eastAsia="Arial" w:hAnsi="Arial" w:cs="Arial"/>
          <w:i/>
          <w:color w:val="0070C0"/>
          <w:sz w:val="16"/>
          <w:szCs w:val="16"/>
        </w:rPr>
        <w:t>ource: DSWD-FO VIII</w:t>
      </w:r>
    </w:p>
    <w:p w14:paraId="63714884" w14:textId="77777777" w:rsidR="009C035C" w:rsidRPr="009C035C" w:rsidRDefault="009C035C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2CCB346A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19A4392" w:rsidR="00985089" w:rsidRPr="00F33F56" w:rsidRDefault="00C24C82" w:rsidP="000E644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0E644A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6B27DD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80EDC01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46F3BCFA" w14:textId="77777777" w:rsidR="009C035C" w:rsidRDefault="009C035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D1AC491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9C035C">
        <w:trPr>
          <w:trHeight w:val="20"/>
          <w:tblHeader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20D98F3" w:rsidR="004C4D79" w:rsidRPr="00363B6B" w:rsidRDefault="00C24C82" w:rsidP="000E644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4C82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E644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C24C82">
              <w:rPr>
                <w:rFonts w:ascii="Arial" w:eastAsia="Arial" w:hAnsi="Arial" w:cs="Arial"/>
                <w:sz w:val="20"/>
                <w:szCs w:val="20"/>
              </w:rPr>
              <w:t xml:space="preserve"> March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A7B85" w14:textId="14999897" w:rsidR="001A7FD4" w:rsidRPr="00363B6B" w:rsidRDefault="002177EB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 LGU Tolosa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united in Bayanihan</w:t>
            </w:r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by delivering the goods to flooded barangays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on 10 February 2021.</w:t>
            </w:r>
          </w:p>
          <w:p w14:paraId="14150DBC" w14:textId="6BBEA95D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family food packs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(FFPs) in Northern Samar and Biliran which can be distributed immediately by the P/C/MATs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local government units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that need augmentation support.</w:t>
            </w:r>
          </w:p>
          <w:p w14:paraId="6547FA0E" w14:textId="0C743F69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with the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CBBFB72" w:rsidR="001A7FD4" w:rsidRPr="00363B6B" w:rsidRDefault="001A7FD4" w:rsidP="0031787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Provincial Action Team (PAT) and DRMD PDO assigned are in close coordination with C/MDRRMO and C/MSWDO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monitor the situation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 the ground and to ensure response activities of LGUs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consider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health protocols, especially during the management of their respective evacuation centers.</w:t>
            </w:r>
          </w:p>
        </w:tc>
      </w:tr>
    </w:tbl>
    <w:p w14:paraId="1F5F6DC9" w14:textId="77777777" w:rsidR="001A7FD4" w:rsidRDefault="001A7FD4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632A136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30C84AE1" w:rsidR="0011000C" w:rsidRDefault="00791620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="002B11A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B5CC1A8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6D8F77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AFD01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DB06D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EE37B0" w14:textId="50F7F077" w:rsidR="00A032A8" w:rsidRPr="002B11A3" w:rsidRDefault="00A032A8" w:rsidP="002B11A3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A032A8" w:rsidRPr="002B11A3" w:rsidSect="00C24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4296" w14:textId="77777777" w:rsidR="001127D5" w:rsidRDefault="001127D5">
      <w:pPr>
        <w:spacing w:after="0" w:line="240" w:lineRule="auto"/>
      </w:pPr>
      <w:r>
        <w:separator/>
      </w:r>
    </w:p>
  </w:endnote>
  <w:endnote w:type="continuationSeparator" w:id="0">
    <w:p w14:paraId="3C43C049" w14:textId="77777777" w:rsidR="001127D5" w:rsidRDefault="0011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8A452C" w:rsidRPr="003F6C96" w:rsidRDefault="008A4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5B27824" w:rsidR="008A452C" w:rsidRPr="00C52BCC" w:rsidRDefault="008A452C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0E644A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0E644A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0E644A">
      <w:rPr>
        <w:rFonts w:ascii="Arial" w:eastAsia="Arial" w:hAnsi="Arial" w:cs="Arial"/>
        <w:sz w:val="14"/>
        <w:szCs w:val="14"/>
      </w:rPr>
      <w:t>8</w:t>
    </w:r>
    <w:r>
      <w:rPr>
        <w:rFonts w:ascii="Arial" w:eastAsia="Arial" w:hAnsi="Arial" w:cs="Arial"/>
        <w:sz w:val="14"/>
        <w:szCs w:val="14"/>
      </w:rPr>
      <w:t xml:space="preserve"> on the </w:t>
    </w:r>
    <w:r w:rsidRPr="001A7FD4">
      <w:rPr>
        <w:rFonts w:ascii="Arial" w:eastAsia="Arial" w:hAnsi="Arial" w:cs="Arial"/>
        <w:sz w:val="14"/>
        <w:szCs w:val="14"/>
      </w:rPr>
      <w:t>Effects of Weather Disturbances in Eastern Visayas</w:t>
    </w:r>
    <w:r>
      <w:rPr>
        <w:rFonts w:ascii="Arial" w:eastAsia="Arial" w:hAnsi="Arial" w:cs="Arial"/>
        <w:sz w:val="14"/>
        <w:szCs w:val="14"/>
      </w:rPr>
      <w:t xml:space="preserve"> as of </w:t>
    </w:r>
    <w:r w:rsidR="00C24C82">
      <w:rPr>
        <w:rFonts w:ascii="Arial" w:eastAsia="Arial" w:hAnsi="Arial" w:cs="Arial"/>
        <w:sz w:val="14"/>
        <w:szCs w:val="14"/>
      </w:rPr>
      <w:t>0</w:t>
    </w:r>
    <w:r w:rsidR="000E644A">
      <w:rPr>
        <w:rFonts w:ascii="Arial" w:eastAsia="Arial" w:hAnsi="Arial" w:cs="Arial"/>
        <w:sz w:val="14"/>
        <w:szCs w:val="14"/>
      </w:rPr>
      <w:t>7</w:t>
    </w:r>
    <w:r w:rsidRPr="00643AC8">
      <w:rPr>
        <w:rFonts w:ascii="Arial" w:eastAsia="Arial" w:hAnsi="Arial" w:cs="Arial"/>
        <w:sz w:val="14"/>
        <w:szCs w:val="14"/>
      </w:rPr>
      <w:t xml:space="preserve"> </w:t>
    </w:r>
    <w:r w:rsidR="00C24C82">
      <w:rPr>
        <w:rFonts w:ascii="Arial" w:eastAsia="Arial" w:hAnsi="Arial" w:cs="Arial"/>
        <w:sz w:val="14"/>
        <w:szCs w:val="14"/>
      </w:rPr>
      <w:t>March</w:t>
    </w:r>
    <w:r w:rsidRPr="00643AC8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BEB04" w14:textId="77777777" w:rsidR="001127D5" w:rsidRDefault="001127D5">
      <w:pPr>
        <w:spacing w:after="0" w:line="240" w:lineRule="auto"/>
      </w:pPr>
      <w:r>
        <w:separator/>
      </w:r>
    </w:p>
  </w:footnote>
  <w:footnote w:type="continuationSeparator" w:id="0">
    <w:p w14:paraId="24548DDB" w14:textId="77777777" w:rsidR="001127D5" w:rsidRDefault="0011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A452C" w:rsidRDefault="008A45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A452C" w:rsidRPr="00AC4062" w:rsidRDefault="008A45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AB02DABA"/>
    <w:lvl w:ilvl="0" w:tplc="A4F4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D66882"/>
    <w:multiLevelType w:val="hybridMultilevel"/>
    <w:tmpl w:val="9486757E"/>
    <w:lvl w:ilvl="0" w:tplc="FB0C8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8"/>
  </w:num>
  <w:num w:numId="35">
    <w:abstractNumId w:val="11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87AA6"/>
    <w:rsid w:val="00096310"/>
    <w:rsid w:val="00096890"/>
    <w:rsid w:val="000976A6"/>
    <w:rsid w:val="000B614D"/>
    <w:rsid w:val="000C3B95"/>
    <w:rsid w:val="000E38E9"/>
    <w:rsid w:val="000E5724"/>
    <w:rsid w:val="000E644A"/>
    <w:rsid w:val="000F3B31"/>
    <w:rsid w:val="000F3C29"/>
    <w:rsid w:val="000F4719"/>
    <w:rsid w:val="00103995"/>
    <w:rsid w:val="00106704"/>
    <w:rsid w:val="0011000C"/>
    <w:rsid w:val="001127D5"/>
    <w:rsid w:val="0011428E"/>
    <w:rsid w:val="001149A2"/>
    <w:rsid w:val="00115767"/>
    <w:rsid w:val="00115D1D"/>
    <w:rsid w:val="00117E55"/>
    <w:rsid w:val="00124A83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A7FD4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806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11A3"/>
    <w:rsid w:val="002B44BD"/>
    <w:rsid w:val="002B62AD"/>
    <w:rsid w:val="002B7D19"/>
    <w:rsid w:val="002C1B3E"/>
    <w:rsid w:val="002C30FF"/>
    <w:rsid w:val="002C7968"/>
    <w:rsid w:val="002D2234"/>
    <w:rsid w:val="002D320D"/>
    <w:rsid w:val="002D6344"/>
    <w:rsid w:val="002E3C58"/>
    <w:rsid w:val="002E7452"/>
    <w:rsid w:val="002F57CF"/>
    <w:rsid w:val="002F6A3E"/>
    <w:rsid w:val="00303C07"/>
    <w:rsid w:val="003064C8"/>
    <w:rsid w:val="00306B7D"/>
    <w:rsid w:val="003169F2"/>
    <w:rsid w:val="0031787F"/>
    <w:rsid w:val="0031795A"/>
    <w:rsid w:val="0033511E"/>
    <w:rsid w:val="00337FB1"/>
    <w:rsid w:val="00344BCF"/>
    <w:rsid w:val="0034656F"/>
    <w:rsid w:val="003468F2"/>
    <w:rsid w:val="00350210"/>
    <w:rsid w:val="00352A0E"/>
    <w:rsid w:val="003574F2"/>
    <w:rsid w:val="00363B6B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0EC4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07396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1CC7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1620"/>
    <w:rsid w:val="007932CF"/>
    <w:rsid w:val="00794590"/>
    <w:rsid w:val="00797258"/>
    <w:rsid w:val="007B12A3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0C33"/>
    <w:rsid w:val="0083244C"/>
    <w:rsid w:val="00833BF6"/>
    <w:rsid w:val="008524BB"/>
    <w:rsid w:val="008555B6"/>
    <w:rsid w:val="00860FB3"/>
    <w:rsid w:val="00861975"/>
    <w:rsid w:val="00864FFE"/>
    <w:rsid w:val="00871F0E"/>
    <w:rsid w:val="0087489B"/>
    <w:rsid w:val="00876120"/>
    <w:rsid w:val="008804F8"/>
    <w:rsid w:val="00894866"/>
    <w:rsid w:val="008A0185"/>
    <w:rsid w:val="008A077B"/>
    <w:rsid w:val="008A452C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67FE6"/>
    <w:rsid w:val="00970CF8"/>
    <w:rsid w:val="00971644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035C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D2DFF"/>
    <w:rsid w:val="00AE2CE4"/>
    <w:rsid w:val="00AE68C9"/>
    <w:rsid w:val="00AE7D6B"/>
    <w:rsid w:val="00B019FE"/>
    <w:rsid w:val="00B03FED"/>
    <w:rsid w:val="00B06303"/>
    <w:rsid w:val="00B167A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4C82"/>
    <w:rsid w:val="00C263C3"/>
    <w:rsid w:val="00C34723"/>
    <w:rsid w:val="00C359C4"/>
    <w:rsid w:val="00C376C5"/>
    <w:rsid w:val="00C507D9"/>
    <w:rsid w:val="00C52BCC"/>
    <w:rsid w:val="00C52E1F"/>
    <w:rsid w:val="00C53091"/>
    <w:rsid w:val="00C61496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D6B4F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D685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2FC1"/>
    <w:rsid w:val="00E664CF"/>
    <w:rsid w:val="00E70DF8"/>
    <w:rsid w:val="00E73E7B"/>
    <w:rsid w:val="00E755D3"/>
    <w:rsid w:val="00E76B49"/>
    <w:rsid w:val="00E76D04"/>
    <w:rsid w:val="00E8312E"/>
    <w:rsid w:val="00E8460D"/>
    <w:rsid w:val="00E85BAF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3606D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2021-03-07T07:57:00Z</dcterms:created>
  <dcterms:modified xsi:type="dcterms:W3CDTF">2021-03-07T07:57:00Z</dcterms:modified>
</cp:coreProperties>
</file>