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BAE654" w14:textId="0F7F4282" w:rsidR="003A0F94" w:rsidRPr="00FC05E8" w:rsidRDefault="00557C5F" w:rsidP="003A0F94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Pr="00FC05E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5636BC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="00A35600" w:rsidRPr="00FC05E8">
        <w:rPr>
          <w:rFonts w:ascii="Arial" w:eastAsia="Arial" w:hAnsi="Arial" w:cs="Arial"/>
          <w:b/>
          <w:sz w:val="32"/>
          <w:szCs w:val="32"/>
        </w:rPr>
        <w:t>Report</w:t>
      </w:r>
      <w:r w:rsidR="00F04638" w:rsidRPr="00FC05E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on</w:t>
      </w:r>
      <w:r w:rsidR="000D1CD4" w:rsidRPr="00FC05E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FC05E8">
        <w:rPr>
          <w:rFonts w:ascii="Arial" w:eastAsia="Arial" w:hAnsi="Arial" w:cs="Arial"/>
          <w:b/>
          <w:sz w:val="32"/>
          <w:szCs w:val="32"/>
        </w:rPr>
        <w:t>he</w:t>
      </w:r>
    </w:p>
    <w:p w14:paraId="31A8A962" w14:textId="6DA3AA34" w:rsidR="003A0F94" w:rsidRPr="00FC05E8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FC05E8">
        <w:rPr>
          <w:rFonts w:ascii="Arial" w:eastAsia="Arial" w:hAnsi="Arial" w:cs="Arial"/>
          <w:b/>
          <w:sz w:val="32"/>
          <w:szCs w:val="32"/>
        </w:rPr>
        <w:t xml:space="preserve">Armed Conflict in </w:t>
      </w:r>
      <w:r w:rsidR="007328E4" w:rsidRPr="007328E4">
        <w:rPr>
          <w:rFonts w:ascii="Arial" w:eastAsia="Arial" w:hAnsi="Arial" w:cs="Arial"/>
          <w:b/>
          <w:sz w:val="32"/>
          <w:szCs w:val="32"/>
        </w:rPr>
        <w:t>San Fernando, Bukidnon</w:t>
      </w:r>
    </w:p>
    <w:p w14:paraId="150B165C" w14:textId="015ABECB" w:rsidR="00E94313" w:rsidRPr="00FC05E8" w:rsidRDefault="005636BC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20 April</w:t>
      </w:r>
      <w:r w:rsidR="00214845" w:rsidRPr="00FC05E8">
        <w:rPr>
          <w:rFonts w:ascii="Arial" w:eastAsia="Arial" w:hAnsi="Arial" w:cs="Arial"/>
          <w:sz w:val="24"/>
          <w:szCs w:val="24"/>
        </w:rPr>
        <w:t xml:space="preserve"> 202</w:t>
      </w:r>
      <w:r w:rsidR="00CF794B" w:rsidRPr="00FC05E8">
        <w:rPr>
          <w:rFonts w:ascii="Arial" w:eastAsia="Arial" w:hAnsi="Arial" w:cs="Arial"/>
          <w:sz w:val="24"/>
          <w:szCs w:val="24"/>
        </w:rPr>
        <w:t>1</w:t>
      </w:r>
      <w:r w:rsidR="00214845" w:rsidRPr="00FC05E8">
        <w:rPr>
          <w:rFonts w:ascii="Arial" w:eastAsia="Arial" w:hAnsi="Arial" w:cs="Arial"/>
          <w:sz w:val="24"/>
          <w:szCs w:val="24"/>
        </w:rPr>
        <w:t>, 6PM</w:t>
      </w:r>
    </w:p>
    <w:p w14:paraId="1098FD5D" w14:textId="2701D8C9" w:rsidR="00A216DC" w:rsidRPr="00FC05E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613C2653" w:rsidR="005734ED" w:rsidRPr="005636BC" w:rsidRDefault="005636BC" w:rsidP="007328E4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0000" w:themeColor="text1"/>
          <w:sz w:val="24"/>
          <w:szCs w:val="24"/>
        </w:rPr>
      </w:pP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This is the final report on the armed conflict that transpired o</w:t>
      </w:r>
      <w:r w:rsidR="00C670C1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E04AE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15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March</w:t>
      </w:r>
      <w:r w:rsidR="00E04AE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r w:rsidR="00337C0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202</w:t>
      </w:r>
      <w:r w:rsidR="00CF794B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1</w:t>
      </w:r>
      <w:r w:rsidR="00214845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at 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4</w:t>
      </w:r>
      <w:r w:rsidR="008D7AC3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PM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in San Fernando</w:t>
      </w:r>
      <w:r w:rsidR="00C670C1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,</w:t>
      </w:r>
      <w:r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Bukdinon</w:t>
      </w:r>
      <w:proofErr w:type="spellEnd"/>
      <w:r>
        <w:rPr>
          <w:rFonts w:ascii="Arial" w:eastAsia="Arial" w:hAnsi="Arial" w:cs="Arial"/>
          <w:i/>
          <w:color w:val="000000" w:themeColor="text1"/>
          <w:sz w:val="24"/>
          <w:szCs w:val="24"/>
        </w:rPr>
        <w:t>. A</w:t>
      </w:r>
      <w:r w:rsidR="008D7AC3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n e</w:t>
      </w:r>
      <w:r w:rsidR="008871DB">
        <w:rPr>
          <w:rFonts w:ascii="Arial" w:eastAsia="Arial" w:hAnsi="Arial" w:cs="Arial"/>
          <w:i/>
          <w:color w:val="000000" w:themeColor="text1"/>
          <w:sz w:val="24"/>
          <w:szCs w:val="24"/>
        </w:rPr>
        <w:t>n</w:t>
      </w:r>
      <w:r w:rsidR="008D7AC3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counter ensued between the </w:t>
      </w:r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Armed Forces of the Philippines (AFP) and the New People’s Army (NPA) 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at </w:t>
      </w:r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Sitio Old </w:t>
      </w:r>
      <w:proofErr w:type="spellStart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Tibugawan</w:t>
      </w:r>
      <w:proofErr w:type="spellEnd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</w:t>
      </w:r>
      <w:proofErr w:type="spellStart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Brgy</w:t>
      </w:r>
      <w:proofErr w:type="spellEnd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. </w:t>
      </w:r>
      <w:proofErr w:type="spellStart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Kawayan</w:t>
      </w:r>
      <w:proofErr w:type="spellEnd"/>
      <w:r w:rsidR="007328E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, San Fernando, Bukidnon 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which </w:t>
      </w:r>
      <w:r w:rsidR="008D7AC3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result</w:t>
      </w:r>
      <w:r w:rsidR="003A0F94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>ed</w:t>
      </w:r>
      <w:r w:rsidR="008D7AC3" w:rsidRPr="005636BC">
        <w:rPr>
          <w:rFonts w:ascii="Arial" w:eastAsia="Arial" w:hAnsi="Arial" w:cs="Arial"/>
          <w:i/>
          <w:color w:val="000000" w:themeColor="text1"/>
          <w:sz w:val="24"/>
          <w:szCs w:val="24"/>
        </w:rPr>
        <w:t xml:space="preserve"> to the displacement of the families and individuals in the area.</w:t>
      </w:r>
    </w:p>
    <w:p w14:paraId="0C96463D" w14:textId="13613DD3" w:rsidR="00F35540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C12A7F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70A9C47" w14:textId="77777777" w:rsidR="008871DB" w:rsidRPr="008871DB" w:rsidRDefault="008871DB" w:rsidP="005636B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48D72F7" w14:textId="2E82B29A" w:rsidR="005636BC" w:rsidRPr="005636BC" w:rsidRDefault="005636BC" w:rsidP="005636B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FC05E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3EFDFE0D" w14:textId="77777777" w:rsidR="00F35540" w:rsidRPr="008871DB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27657A29" w14:textId="3BE080DA" w:rsidR="00470FE4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0CEB21BC" w:rsidR="00470FE4" w:rsidRPr="005D28D3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5D28D3">
        <w:rPr>
          <w:rFonts w:ascii="Arial" w:eastAsia="Arial" w:hAnsi="Arial" w:cs="Arial"/>
          <w:bCs/>
          <w:color w:val="auto"/>
          <w:sz w:val="24"/>
          <w:szCs w:val="24"/>
        </w:rPr>
        <w:t xml:space="preserve">A total </w:t>
      </w:r>
      <w:proofErr w:type="gramStart"/>
      <w:r w:rsidRPr="005D28D3">
        <w:rPr>
          <w:rFonts w:ascii="Arial" w:eastAsia="Arial" w:hAnsi="Arial" w:cs="Arial"/>
          <w:bCs/>
          <w:color w:val="auto"/>
          <w:sz w:val="24"/>
          <w:szCs w:val="24"/>
        </w:rPr>
        <w:t>of</w:t>
      </w:r>
      <w:r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24304A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37</w:t>
      </w:r>
      <w:proofErr w:type="gramEnd"/>
      <w:r w:rsidR="008D7AC3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families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328E4" w:rsidRPr="005D28D3">
        <w:rPr>
          <w:rFonts w:ascii="Arial" w:eastAsia="Arial" w:hAnsi="Arial" w:cs="Arial"/>
          <w:b/>
          <w:color w:val="auto"/>
          <w:sz w:val="24"/>
          <w:szCs w:val="24"/>
        </w:rPr>
        <w:t>148</w:t>
      </w:r>
      <w:r w:rsidR="00D90712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b/>
          <w:color w:val="auto"/>
          <w:sz w:val="24"/>
          <w:szCs w:val="24"/>
        </w:rPr>
        <w:t>persons</w:t>
      </w:r>
      <w:r w:rsidR="00E04AE5" w:rsidRPr="005D28D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5D28D3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Brgy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. </w:t>
      </w:r>
      <w:proofErr w:type="spellStart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>Kawayan</w:t>
      </w:r>
      <w:proofErr w:type="spellEnd"/>
      <w:r w:rsidR="007328E4" w:rsidRPr="005D28D3">
        <w:rPr>
          <w:rFonts w:ascii="Arial" w:eastAsia="Arial" w:hAnsi="Arial" w:cs="Arial"/>
          <w:b/>
          <w:bCs/>
          <w:color w:val="auto"/>
          <w:sz w:val="24"/>
          <w:szCs w:val="24"/>
        </w:rPr>
        <w:t xml:space="preserve">, San Fernando, Bukidnon </w:t>
      </w:r>
      <w:r w:rsidR="0095084B" w:rsidRPr="005D28D3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5D28D3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5D28D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5D28D3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8871DB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70D52FD0" w14:textId="236256A2" w:rsidR="00470FE4" w:rsidRPr="00C12A7F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C12A7F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C12A7F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/</w:t>
      </w:r>
      <w:r w:rsidR="002A64EF" w:rsidRPr="00C12A7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C12A7F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1"/>
        <w:gridCol w:w="4501"/>
        <w:gridCol w:w="1791"/>
        <w:gridCol w:w="1379"/>
        <w:gridCol w:w="1364"/>
      </w:tblGrid>
      <w:tr w:rsidR="007328E4" w:rsidRPr="007328E4" w14:paraId="46F229F0" w14:textId="77777777" w:rsidTr="007328E4">
        <w:trPr>
          <w:trHeight w:val="20"/>
        </w:trPr>
        <w:tc>
          <w:tcPr>
            <w:tcW w:w="25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B0D9E6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A40F7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7328E4" w:rsidRPr="007328E4" w14:paraId="7909DBDC" w14:textId="77777777" w:rsidTr="007328E4">
        <w:trPr>
          <w:trHeight w:val="20"/>
        </w:trPr>
        <w:tc>
          <w:tcPr>
            <w:tcW w:w="25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828D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03CC38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8BE73D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6DA28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1286394D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1DDE73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0EBBFD0" w14:textId="797F1BF8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2A66E6" w14:textId="276FF9E0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BA8BAE" w14:textId="0848C7E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570D74E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250FC30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E7A6A3" w14:textId="65D34451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F095F4" w14:textId="5087534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B58A35" w14:textId="1CBBBCC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1D1FD997" w14:textId="77777777" w:rsidTr="007328E4">
        <w:trPr>
          <w:trHeight w:val="20"/>
        </w:trPr>
        <w:tc>
          <w:tcPr>
            <w:tcW w:w="25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0B98F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B5DEC" w14:textId="4A2272DC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AED857" w14:textId="7A362933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AE3E86" w14:textId="63BD22E4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</w:tr>
      <w:tr w:rsidR="007328E4" w:rsidRPr="007328E4" w14:paraId="7EE96C2F" w14:textId="77777777" w:rsidTr="007328E4">
        <w:trPr>
          <w:trHeight w:val="20"/>
        </w:trPr>
        <w:tc>
          <w:tcPr>
            <w:tcW w:w="15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6A2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5F834" w14:textId="7777777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7FDD8D" w14:textId="54634147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632B09" w14:textId="36E4EC9E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76D6AF" w14:textId="4374AA0F" w:rsidR="007328E4" w:rsidRPr="007328E4" w:rsidRDefault="007328E4" w:rsidP="007328E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</w:tr>
    </w:tbl>
    <w:p w14:paraId="22040A10" w14:textId="42BD041D" w:rsidR="00F35540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6853AA91" w14:textId="77777777" w:rsidR="00676426" w:rsidRPr="008871DB" w:rsidRDefault="00676426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5137BA9D" w14:textId="0DCFC46C" w:rsidR="005318D3" w:rsidRPr="00FC05E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FC05E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FC05E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FC05E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 w:rsidRPr="00FC05E8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4CF2DA06" w:rsidR="00E04AE5" w:rsidRPr="005D28D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</w:pPr>
      <w:r w:rsidRPr="005D28D3"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37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EB153B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families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148</w:t>
      </w:r>
      <w:r w:rsidR="0024304A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 w:rsidR="00354854" w:rsidRPr="005D28D3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>persons</w:t>
      </w:r>
      <w:r w:rsidR="0024304A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676426"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7328E4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Brgy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. </w:t>
      </w:r>
      <w:proofErr w:type="spellStart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>Kawayan</w:t>
      </w:r>
      <w:proofErr w:type="spellEnd"/>
      <w:r w:rsidR="007328E4" w:rsidRPr="005D28D3">
        <w:rPr>
          <w:rFonts w:ascii="Arial" w:hAnsi="Arial" w:cs="Arial"/>
          <w:b/>
          <w:color w:val="auto"/>
          <w:sz w:val="24"/>
          <w:szCs w:val="24"/>
          <w:shd w:val="clear" w:color="auto" w:fill="FFFFFF"/>
        </w:rPr>
        <w:t xml:space="preserve"> Covered Court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5D28D3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</w:p>
    <w:p w14:paraId="4A01CF8B" w14:textId="77777777" w:rsidR="001B7B64" w:rsidRPr="008871D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0"/>
          <w:szCs w:val="20"/>
          <w:shd w:val="clear" w:color="auto" w:fill="FFFFFF"/>
        </w:rPr>
      </w:pPr>
    </w:p>
    <w:p w14:paraId="4283DB44" w14:textId="6BB5F09A" w:rsidR="00C71101" w:rsidRPr="00C12A7F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362"/>
        <w:gridCol w:w="968"/>
        <w:gridCol w:w="969"/>
        <w:gridCol w:w="968"/>
        <w:gridCol w:w="973"/>
        <w:gridCol w:w="968"/>
        <w:gridCol w:w="969"/>
      </w:tblGrid>
      <w:tr w:rsidR="007328E4" w:rsidRPr="007328E4" w14:paraId="0B806083" w14:textId="77777777" w:rsidTr="007328E4">
        <w:trPr>
          <w:trHeight w:val="20"/>
        </w:trPr>
        <w:tc>
          <w:tcPr>
            <w:tcW w:w="188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EC53F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1C14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F08DE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7328E4" w:rsidRPr="007328E4" w14:paraId="39DDA6E3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33E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78E4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8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AB63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7328E4" w:rsidRPr="007328E4" w14:paraId="0C31623E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827D0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C05C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761AAC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3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3CF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7328E4" w:rsidRPr="007328E4" w14:paraId="08A509B7" w14:textId="77777777" w:rsidTr="007328E4">
        <w:trPr>
          <w:trHeight w:val="20"/>
        </w:trPr>
        <w:tc>
          <w:tcPr>
            <w:tcW w:w="188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292D4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7B29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B5A6B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38959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05A3D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22A475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0C1597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676426" w:rsidRPr="007328E4" w14:paraId="2B2722AE" w14:textId="77777777" w:rsidTr="007328E4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4A3AC" w14:textId="77777777" w:rsidR="00676426" w:rsidRPr="007328E4" w:rsidRDefault="00676426" w:rsidP="0067642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7AA5F" w14:textId="0AD3ADE4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FAA6C" w14:textId="60A184F1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9B5A5" w14:textId="2CEA3884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A4E90" w14:textId="574E89EB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64B911" w14:textId="109A7F7B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1C70FB" w14:textId="0F6E40EE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76426" w:rsidRPr="007328E4" w14:paraId="63ED9F20" w14:textId="77777777" w:rsidTr="00F8649D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2A5B" w14:textId="77777777" w:rsidR="00676426" w:rsidRPr="007328E4" w:rsidRDefault="00676426" w:rsidP="006764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E7A0ED" w14:textId="483B4006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1582F4" w14:textId="19CACFBE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4DC933" w14:textId="55ABE75F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2C5510" w14:textId="5EA2F2FC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80EBE" w14:textId="3D656EEA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EA773F" w14:textId="6E019F1B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676426" w:rsidRPr="007328E4" w14:paraId="75EF1BDD" w14:textId="77777777" w:rsidTr="00F8649D">
        <w:trPr>
          <w:trHeight w:val="20"/>
        </w:trPr>
        <w:tc>
          <w:tcPr>
            <w:tcW w:w="18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E7667" w14:textId="77777777" w:rsidR="00676426" w:rsidRPr="007328E4" w:rsidRDefault="00676426" w:rsidP="0067642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116DA" w14:textId="0CAF3696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A65CF9" w14:textId="04F3DD6A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4983A4" w14:textId="0ED38232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C4BF37C" w14:textId="291EAA5D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C8ABC6" w14:textId="3E107EB4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328E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728898" w14:textId="274E3ED7" w:rsidR="00676426" w:rsidRPr="007328E4" w:rsidRDefault="00676426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6B6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</w:p>
        </w:tc>
      </w:tr>
      <w:tr w:rsidR="007328E4" w:rsidRPr="007328E4" w14:paraId="024E6531" w14:textId="77777777" w:rsidTr="007328E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0CD5A8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D8F49" w14:textId="77777777" w:rsidR="007328E4" w:rsidRPr="007328E4" w:rsidRDefault="007328E4" w:rsidP="007328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1EA3BC" w14:textId="7B605CF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7C3053" w14:textId="25E2954E" w:rsidR="007328E4" w:rsidRPr="007328E4" w:rsidRDefault="007328E4" w:rsidP="0067642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642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6AF80" w14:textId="604D29A1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 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97A90D" w14:textId="71F59726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676426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676426"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D32C3" w14:textId="5B1111C3" w:rsidR="007328E4" w:rsidRPr="007328E4" w:rsidRDefault="007328E4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28E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148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D130EA" w14:textId="526001AE" w:rsidR="007328E4" w:rsidRPr="007328E4" w:rsidRDefault="00676426" w:rsidP="007328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6E50C7E1" w14:textId="5ADC00C8" w:rsidR="00214845" w:rsidRDefault="008D7AC3" w:rsidP="005D28D3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3A0F94" w:rsidRPr="00C12A7F">
        <w:rPr>
          <w:rFonts w:ascii="Arial" w:eastAsia="Arial" w:hAnsi="Arial" w:cs="Arial"/>
          <w:i/>
          <w:color w:val="0070C0"/>
          <w:sz w:val="16"/>
          <w:szCs w:val="16"/>
        </w:rPr>
        <w:t>X</w:t>
      </w:r>
    </w:p>
    <w:p w14:paraId="4516EFF1" w14:textId="77777777" w:rsidR="00676426" w:rsidRPr="008871DB" w:rsidRDefault="00676426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11287D2" w14:textId="77777777" w:rsidR="005D28D3" w:rsidRDefault="005D28D3" w:rsidP="005D28D3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473D6C70" w14:textId="10AF2CC0" w:rsidR="005D28D3" w:rsidRPr="00676426" w:rsidRDefault="005D28D3" w:rsidP="005D28D3">
      <w:pPr>
        <w:spacing w:after="0" w:line="240" w:lineRule="auto"/>
        <w:ind w:left="360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 w:rsidRPr="00676426">
        <w:rPr>
          <w:rFonts w:ascii="Arial" w:hAnsi="Arial" w:cs="Arial"/>
          <w:color w:val="auto"/>
          <w:sz w:val="24"/>
          <w:szCs w:val="24"/>
        </w:rPr>
        <w:t xml:space="preserve">A total of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76426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463,032.74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worth of assistance was provided to the affected families; of which,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₱117,632.99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DSWD</w:t>
      </w:r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,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r w:rsidR="00676426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43,600.00 </w:t>
      </w:r>
      <w:r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Pr="00676426">
        <w:rPr>
          <w:rFonts w:ascii="Arial" w:hAnsi="Arial" w:cs="Arial"/>
          <w:b/>
          <w:bCs/>
          <w:color w:val="auto"/>
          <w:sz w:val="24"/>
          <w:szCs w:val="24"/>
        </w:rPr>
        <w:t>LGUs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proofErr w:type="gramStart"/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and  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>₱</w:t>
      </w:r>
      <w:proofErr w:type="gramEnd"/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 xml:space="preserve">301,799.75 </w:t>
      </w:r>
      <w:r w:rsidR="00845679" w:rsidRPr="00676426">
        <w:rPr>
          <w:rFonts w:ascii="Arial" w:hAnsi="Arial" w:cs="Arial"/>
          <w:color w:val="auto"/>
          <w:sz w:val="24"/>
          <w:szCs w:val="24"/>
        </w:rPr>
        <w:t xml:space="preserve">from </w:t>
      </w:r>
      <w:r w:rsidR="00845679" w:rsidRPr="00676426">
        <w:rPr>
          <w:rFonts w:ascii="Arial" w:hAnsi="Arial" w:cs="Arial"/>
          <w:b/>
          <w:bCs/>
          <w:color w:val="auto"/>
          <w:sz w:val="24"/>
          <w:szCs w:val="24"/>
        </w:rPr>
        <w:t>NGOs</w:t>
      </w:r>
      <w:r w:rsidR="00914F28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676426">
        <w:rPr>
          <w:rFonts w:ascii="Arial" w:hAnsi="Arial" w:cs="Arial"/>
          <w:color w:val="auto"/>
          <w:sz w:val="24"/>
          <w:szCs w:val="24"/>
        </w:rPr>
        <w:t>(see Table 3).</w:t>
      </w:r>
    </w:p>
    <w:p w14:paraId="0DA7E127" w14:textId="77777777" w:rsidR="005D28D3" w:rsidRPr="008871DB" w:rsidRDefault="005D28D3" w:rsidP="005D28D3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5E78E23" w14:textId="0E1F70AB" w:rsidR="005D28D3" w:rsidRPr="008871DB" w:rsidRDefault="005D28D3" w:rsidP="005D28D3">
      <w:pPr>
        <w:spacing w:after="0" w:line="240" w:lineRule="auto"/>
        <w:ind w:left="426"/>
        <w:jc w:val="both"/>
        <w:rPr>
          <w:rFonts w:ascii="Arial" w:eastAsia="Arial" w:hAnsi="Arial" w:cs="Arial"/>
          <w:b/>
          <w:bCs/>
          <w:i/>
          <w:color w:val="auto"/>
          <w:sz w:val="20"/>
          <w:szCs w:val="20"/>
        </w:rPr>
      </w:pPr>
      <w:r w:rsidRPr="008871DB">
        <w:rPr>
          <w:rFonts w:ascii="Arial" w:eastAsia="Arial" w:hAnsi="Arial" w:cs="Arial"/>
          <w:b/>
          <w:bCs/>
          <w:i/>
          <w:color w:val="auto"/>
          <w:sz w:val="20"/>
          <w:szCs w:val="20"/>
        </w:rPr>
        <w:t>Table 3. Cost of Assistance Provided to Affected Families / Persons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331"/>
        <w:gridCol w:w="2200"/>
        <w:gridCol w:w="1274"/>
        <w:gridCol w:w="1263"/>
        <w:gridCol w:w="1330"/>
        <w:gridCol w:w="1116"/>
        <w:gridCol w:w="1802"/>
      </w:tblGrid>
      <w:tr w:rsidR="00845679" w:rsidRPr="00676426" w14:paraId="2962252C" w14:textId="77777777" w:rsidTr="00676426">
        <w:trPr>
          <w:trHeight w:val="20"/>
        </w:trPr>
        <w:tc>
          <w:tcPr>
            <w:tcW w:w="13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43E350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64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F743D57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676426" w:rsidRPr="00676426" w14:paraId="7AAA7913" w14:textId="77777777" w:rsidTr="00676426">
        <w:trPr>
          <w:trHeight w:val="20"/>
        </w:trPr>
        <w:tc>
          <w:tcPr>
            <w:tcW w:w="13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A9306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672418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E0A189" w14:textId="72C49DD1" w:rsidR="00845679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A1BF24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C2E8EAA" w14:textId="4C895A49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123C748" w14:textId="77777777" w:rsidR="00845679" w:rsidRPr="00676426" w:rsidRDefault="00845679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76426" w:rsidRPr="00676426" w14:paraId="2853A888" w14:textId="77777777" w:rsidTr="0067642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79530E" w14:textId="77777777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E73EF5E" w14:textId="7B5D73AC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117,632.99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0B2B43B" w14:textId="437679D6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43,600.00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2B8EF0F" w14:textId="372DC333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301,799.75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BB7F20E" w14:textId="03743D3A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CDFA98" w14:textId="0D2E3702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463,032.74 </w:t>
            </w:r>
          </w:p>
        </w:tc>
      </w:tr>
      <w:tr w:rsidR="00676426" w:rsidRPr="00676426" w14:paraId="6961FA5B" w14:textId="77777777" w:rsidTr="0067642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C752E6B" w14:textId="77777777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X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827D83" w14:textId="07AFB591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117,632.99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5DEBB" w14:textId="6DE90FA8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43,600.00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D0EAB77" w14:textId="588EBD81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301,799.75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6D4ADB3" w14:textId="3B7F958E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189215" w14:textId="602493F2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463,032.74 </w:t>
            </w:r>
          </w:p>
        </w:tc>
      </w:tr>
      <w:tr w:rsidR="00676426" w:rsidRPr="00676426" w14:paraId="60B2F613" w14:textId="77777777" w:rsidTr="00676426">
        <w:trPr>
          <w:trHeight w:val="20"/>
        </w:trPr>
        <w:tc>
          <w:tcPr>
            <w:tcW w:w="1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E59FC" w14:textId="77777777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Bukidnon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5F0C15" w14:textId="710B2F1C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117,632.99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5F856E" w14:textId="6DAA03C0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43,600.00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58E93EB" w14:textId="1DCBF2CA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301,799.75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9CD78BC" w14:textId="3EF3B86C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9DA062" w14:textId="7E94B849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67642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463,032.74 </w:t>
            </w:r>
          </w:p>
        </w:tc>
      </w:tr>
      <w:tr w:rsidR="00676426" w:rsidRPr="00676426" w14:paraId="7002BF55" w14:textId="77777777" w:rsidTr="00676426">
        <w:trPr>
          <w:trHeight w:val="20"/>
        </w:trPr>
        <w:tc>
          <w:tcPr>
            <w:tcW w:w="1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97105E" w14:textId="77777777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BBB57" w14:textId="77777777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Fernando</w:t>
            </w:r>
          </w:p>
        </w:tc>
        <w:tc>
          <w:tcPr>
            <w:tcW w:w="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E69B" w14:textId="09FE7104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117,632.99 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516E4B" w14:textId="1BF5520C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43,600.00 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50136F9" w14:textId="451CF759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301,799.75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A6AE85" w14:textId="1EF11BBC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9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8209C6" w14:textId="67CC3923" w:rsidR="00676426" w:rsidRPr="00676426" w:rsidRDefault="00676426" w:rsidP="0067642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676426">
              <w:rPr>
                <w:rFonts w:ascii="Arial" w:hAnsi="Arial" w:cs="Arial"/>
                <w:i/>
                <w:iCs/>
                <w:sz w:val="20"/>
                <w:szCs w:val="20"/>
              </w:rPr>
              <w:t>463,032.74</w:t>
            </w:r>
          </w:p>
        </w:tc>
      </w:tr>
    </w:tbl>
    <w:p w14:paraId="7AE3D008" w14:textId="4AF1C6FC" w:rsidR="00C12A7F" w:rsidRPr="005D28D3" w:rsidRDefault="005D28D3" w:rsidP="005D28D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C12A7F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105ACB9" w14:textId="5C105D9A" w:rsidR="003D0AEA" w:rsidRPr="00C12A7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C12A7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C12A7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C12A7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73F02CC2" w14:textId="521FC9E0" w:rsidR="00C12A7F" w:rsidRDefault="00C12A7F" w:rsidP="00AE096E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4492A6FC" w14:textId="780EDEE6" w:rsidR="00470FE4" w:rsidRPr="005D28D3" w:rsidRDefault="00FC54C7" w:rsidP="005D28D3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FC05E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FC05E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A0F94" w:rsidRPr="00FC05E8">
        <w:rPr>
          <w:rFonts w:ascii="Arial" w:eastAsia="Arial" w:hAnsi="Arial" w:cs="Arial"/>
          <w:b/>
          <w:color w:val="auto"/>
          <w:sz w:val="24"/>
          <w:szCs w:val="24"/>
        </w:rPr>
        <w:t>X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C12A7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C12A7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C12A7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C12A7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C12A7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C12A7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58454C0D" w:rsidR="0095060C" w:rsidRPr="00606984" w:rsidRDefault="00606984" w:rsidP="00606984">
            <w:pPr>
              <w:jc w:val="center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15 </w:t>
            </w:r>
            <w:r w:rsidR="00676426"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>April</w:t>
            </w:r>
            <w:r w:rsidR="003A0F94"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2021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846021" w14:textId="77777777" w:rsidR="00606984" w:rsidRPr="00606984" w:rsidRDefault="00676426" w:rsidP="0060698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 w:rsidRPr="00845679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submitted their </w:t>
            </w:r>
            <w:r w:rsidRPr="00676426">
              <w:rPr>
                <w:rFonts w:ascii="Arial" w:eastAsia="Arial" w:hAnsi="Arial" w:cs="Arial"/>
                <w:b/>
                <w:color w:val="auto"/>
                <w:sz w:val="20"/>
                <w:szCs w:val="20"/>
              </w:rPr>
              <w:t>terminal report.</w:t>
            </w:r>
          </w:p>
          <w:p w14:paraId="5CAF9293" w14:textId="481E48C0" w:rsidR="00606984" w:rsidRPr="00606984" w:rsidRDefault="00606984" w:rsidP="0060698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DSWD-FO X </w:t>
            </w:r>
            <w:r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>through the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Disaster Response Management Division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provided 111 </w:t>
            </w:r>
            <w:r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>family food packs and 37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hygiene kits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amounting to a total of ₱117,632.99 to the affected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  <w:p w14:paraId="2F88BF95" w14:textId="63BA3160" w:rsidR="00676426" w:rsidRDefault="00676426" w:rsidP="0067642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The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Municipal Social Welfare and Development Office and Barangay </w:t>
            </w:r>
            <w:proofErr w:type="spellStart"/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Kawayan</w:t>
            </w:r>
            <w:proofErr w:type="spellEnd"/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provided immediate food assistance amoun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ting to ₱10,000.00 to the affected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  <w:p w14:paraId="671B18B0" w14:textId="64B5681E" w:rsidR="00676426" w:rsidRDefault="00676426" w:rsidP="00676426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he Assistance and Cooperation for Community Resilience and Development,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Inc. (ACCORD), a </w:t>
            </w:r>
            <w:r w:rsidR="00914F28">
              <w:rPr>
                <w:rFonts w:ascii="Arial" w:eastAsia="Arial" w:hAnsi="Arial" w:cs="Arial"/>
                <w:color w:val="auto"/>
                <w:sz w:val="20"/>
                <w:szCs w:val="20"/>
              </w:rPr>
              <w:t>n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on-gover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nment </w:t>
            </w:r>
            <w:r w:rsidR="00914F28">
              <w:rPr>
                <w:rFonts w:ascii="Arial" w:eastAsia="Arial" w:hAnsi="Arial" w:cs="Arial"/>
                <w:color w:val="auto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rganization provided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37 food kits, 37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hygiene kits, 74 wash kits, 37 shelter kits and 37 </w:t>
            </w:r>
            <w:r w:rsidR="00914F28"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portable </w:t>
            </w:r>
            <w:r w:rsidR="00914F28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solar lamps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amounting to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 total of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₱</w:t>
            </w:r>
            <w:r w:rsidR="00606984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301,799.75 to the affected </w:t>
            </w:r>
            <w:r w:rsidR="00606984"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  <w:p w14:paraId="2BDFEDAC" w14:textId="33F4FF18" w:rsidR="00676426" w:rsidRPr="00606984" w:rsidRDefault="00606984" w:rsidP="00606984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>The Province of Bukidnon</w:t>
            </w:r>
            <w:r w:rsidR="00676426"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provided 10 sacks of rice, 2 boxes of</w:t>
            </w:r>
            <w:r w:rsid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 </w:t>
            </w:r>
            <w:r w:rsidR="00676426"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sardines and 8 boxes of beef loaf amounting to 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a total of </w:t>
            </w:r>
            <w:r w:rsidR="00676426"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₱</w:t>
            </w:r>
            <w:r>
              <w:rPr>
                <w:rFonts w:ascii="Arial" w:eastAsia="Arial" w:hAnsi="Arial" w:cs="Arial"/>
                <w:color w:val="auto"/>
                <w:sz w:val="20"/>
                <w:szCs w:val="20"/>
              </w:rPr>
              <w:t xml:space="preserve">33,600.00 to the affected </w:t>
            </w:r>
            <w:r w:rsidRPr="00676426">
              <w:rPr>
                <w:rFonts w:ascii="Arial" w:eastAsia="Arial" w:hAnsi="Arial" w:cs="Arial"/>
                <w:color w:val="auto"/>
                <w:sz w:val="20"/>
                <w:szCs w:val="20"/>
              </w:rPr>
              <w:t>families.</w:t>
            </w:r>
          </w:p>
        </w:tc>
      </w:tr>
    </w:tbl>
    <w:p w14:paraId="5EE2023A" w14:textId="350E12AD" w:rsidR="0022209F" w:rsidRPr="00FC05E8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C12A7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C12A7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631B6DFC" w:rsidR="00470FE4" w:rsidRPr="00C12A7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3A0F94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X </w:t>
      </w:r>
      <w:r w:rsidR="006A63BA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C12A7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any request of Technical </w:t>
      </w:r>
      <w:proofErr w:type="spellStart"/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Assisatnce</w:t>
      </w:r>
      <w:proofErr w:type="spellEnd"/>
      <w:r w:rsidR="00676426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and Resource Augmentation (TARA).</w:t>
      </w:r>
    </w:p>
    <w:p w14:paraId="0AD4AD13" w14:textId="77777777" w:rsidR="00D6454A" w:rsidRPr="00FC05E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FC05E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Pr="00FC05E8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71A410" w14:textId="63931F37" w:rsidR="00DF4AA2" w:rsidRPr="00FC05E8" w:rsidRDefault="00606984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606984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4DAFBF32" w14:textId="77777777" w:rsidR="00DF4AA2" w:rsidRPr="00FC05E8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55B0F1B" w14:textId="77777777" w:rsidR="00606984" w:rsidRDefault="00606984" w:rsidP="003A0F9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</w:p>
    <w:p w14:paraId="6832B8CC" w14:textId="33790900" w:rsidR="00606984" w:rsidRDefault="00606984" w:rsidP="003A0F94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606984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7F518BB7" w14:textId="366F5593" w:rsidR="00BC38D8" w:rsidRPr="00FC05E8" w:rsidRDefault="00DF4AA2" w:rsidP="003A0F94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C05E8">
        <w:rPr>
          <w:rFonts w:ascii="Arial" w:eastAsia="Arial" w:hAnsi="Arial" w:cs="Arial"/>
          <w:sz w:val="24"/>
          <w:szCs w:val="24"/>
        </w:rPr>
        <w:t>Releasing Officer</w:t>
      </w:r>
    </w:p>
    <w:p w14:paraId="55365058" w14:textId="537BA637" w:rsidR="00BC38D8" w:rsidRPr="00FC05E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1CED32C2" w:rsidR="00E60F04" w:rsidRPr="00FC05E8" w:rsidRDefault="00E60F04" w:rsidP="00BC38D8">
      <w:pPr>
        <w:rPr>
          <w:rFonts w:ascii="Arial" w:eastAsia="Arial" w:hAnsi="Arial" w:cs="Arial"/>
          <w:sz w:val="24"/>
          <w:szCs w:val="24"/>
        </w:rPr>
      </w:pPr>
    </w:p>
    <w:sectPr w:rsidR="00E60F04" w:rsidRPr="00FC05E8" w:rsidSect="00B520AF">
      <w:headerReference w:type="default" r:id="rId8"/>
      <w:footerReference w:type="default" r:id="rId9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12B08" w14:textId="77777777" w:rsidR="001958C3" w:rsidRDefault="001958C3">
      <w:pPr>
        <w:spacing w:after="0" w:line="240" w:lineRule="auto"/>
      </w:pPr>
      <w:r>
        <w:separator/>
      </w:r>
    </w:p>
  </w:endnote>
  <w:endnote w:type="continuationSeparator" w:id="0">
    <w:p w14:paraId="69F42B79" w14:textId="77777777" w:rsidR="001958C3" w:rsidRDefault="00195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5AC79EFE" w:rsidR="00470FE4" w:rsidRPr="006404CC" w:rsidRDefault="00FC54C7" w:rsidP="007328E4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852F0">
      <w:rPr>
        <w:rFonts w:ascii="Arial" w:hAnsi="Arial" w:cs="Arial"/>
        <w:b/>
        <w:noProof/>
        <w:sz w:val="14"/>
        <w:szCs w:val="16"/>
      </w:rPr>
      <w:t>1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1852F0">
      <w:rPr>
        <w:rFonts w:ascii="Arial" w:hAnsi="Arial" w:cs="Arial"/>
        <w:b/>
        <w:noProof/>
        <w:sz w:val="14"/>
        <w:szCs w:val="16"/>
      </w:rPr>
      <w:t>2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 xml:space="preserve">DSWD DROMIC </w:t>
    </w:r>
    <w:r w:rsidR="005636BC">
      <w:rPr>
        <w:rFonts w:ascii="Arial" w:hAnsi="Arial" w:cs="Arial"/>
        <w:sz w:val="14"/>
        <w:szCs w:val="16"/>
      </w:rPr>
      <w:t>Terminal Report</w:t>
    </w:r>
    <w:r w:rsidR="007328E4" w:rsidRPr="007328E4">
      <w:rPr>
        <w:rFonts w:ascii="Arial" w:hAnsi="Arial" w:cs="Arial"/>
        <w:sz w:val="14"/>
        <w:szCs w:val="16"/>
      </w:rPr>
      <w:t xml:space="preserve"> on the</w:t>
    </w:r>
    <w:r w:rsidR="007328E4">
      <w:rPr>
        <w:rFonts w:ascii="Arial" w:hAnsi="Arial" w:cs="Arial"/>
        <w:sz w:val="14"/>
        <w:szCs w:val="16"/>
      </w:rPr>
      <w:t xml:space="preserve"> </w:t>
    </w:r>
    <w:r w:rsidR="007328E4" w:rsidRPr="007328E4">
      <w:rPr>
        <w:rFonts w:ascii="Arial" w:hAnsi="Arial" w:cs="Arial"/>
        <w:sz w:val="14"/>
        <w:szCs w:val="16"/>
      </w:rPr>
      <w:t>Armed Conflict in San Fernando, Bukidnon</w:t>
    </w:r>
    <w:r w:rsidR="005636BC">
      <w:rPr>
        <w:rFonts w:ascii="Arial" w:hAnsi="Arial" w:cs="Arial"/>
        <w:sz w:val="14"/>
        <w:szCs w:val="16"/>
      </w:rPr>
      <w:t xml:space="preserve">, 20 April </w:t>
    </w:r>
    <w:r w:rsidR="007328E4" w:rsidRPr="007328E4">
      <w:rPr>
        <w:rFonts w:ascii="Arial" w:hAnsi="Arial" w:cs="Arial"/>
        <w:sz w:val="14"/>
        <w:szCs w:val="16"/>
      </w:rPr>
      <w:t>2021, 6PM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0E617" w14:textId="77777777" w:rsidR="001958C3" w:rsidRDefault="001958C3">
      <w:pPr>
        <w:spacing w:after="0" w:line="240" w:lineRule="auto"/>
      </w:pPr>
      <w:r>
        <w:separator/>
      </w:r>
    </w:p>
  </w:footnote>
  <w:footnote w:type="continuationSeparator" w:id="0">
    <w:p w14:paraId="3D692194" w14:textId="77777777" w:rsidR="001958C3" w:rsidRDefault="00195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D581B"/>
    <w:multiLevelType w:val="hybridMultilevel"/>
    <w:tmpl w:val="D8389A56"/>
    <w:lvl w:ilvl="0" w:tplc="1584C46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5271"/>
    <w:multiLevelType w:val="hybridMultilevel"/>
    <w:tmpl w:val="6CE4CA96"/>
    <w:lvl w:ilvl="0" w:tplc="5C3005F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2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6"/>
  </w:num>
  <w:num w:numId="2">
    <w:abstractNumId w:val="23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21"/>
  </w:num>
  <w:num w:numId="8">
    <w:abstractNumId w:val="11"/>
  </w:num>
  <w:num w:numId="9">
    <w:abstractNumId w:val="7"/>
  </w:num>
  <w:num w:numId="10">
    <w:abstractNumId w:val="5"/>
  </w:num>
  <w:num w:numId="11">
    <w:abstractNumId w:val="2"/>
  </w:num>
  <w:num w:numId="12">
    <w:abstractNumId w:val="0"/>
  </w:num>
  <w:num w:numId="13">
    <w:abstractNumId w:val="17"/>
  </w:num>
  <w:num w:numId="14">
    <w:abstractNumId w:val="12"/>
  </w:num>
  <w:num w:numId="15">
    <w:abstractNumId w:val="4"/>
  </w:num>
  <w:num w:numId="16">
    <w:abstractNumId w:val="18"/>
  </w:num>
  <w:num w:numId="17">
    <w:abstractNumId w:val="9"/>
  </w:num>
  <w:num w:numId="18">
    <w:abstractNumId w:val="20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5"/>
  </w:num>
  <w:num w:numId="22">
    <w:abstractNumId w:val="19"/>
  </w:num>
  <w:num w:numId="23">
    <w:abstractNumId w:val="1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52F0"/>
    <w:rsid w:val="001865E5"/>
    <w:rsid w:val="001958C3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304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A0F94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5DCE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36BC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D28D3"/>
    <w:rsid w:val="005E54FE"/>
    <w:rsid w:val="00603EA1"/>
    <w:rsid w:val="006049E3"/>
    <w:rsid w:val="00606523"/>
    <w:rsid w:val="00606984"/>
    <w:rsid w:val="00613D1F"/>
    <w:rsid w:val="00615651"/>
    <w:rsid w:val="00615BA3"/>
    <w:rsid w:val="00624234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6610E"/>
    <w:rsid w:val="00670985"/>
    <w:rsid w:val="006760CF"/>
    <w:rsid w:val="00676426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C778C"/>
    <w:rsid w:val="006D74EF"/>
    <w:rsid w:val="006D7F43"/>
    <w:rsid w:val="006E0766"/>
    <w:rsid w:val="006E3F82"/>
    <w:rsid w:val="006E6612"/>
    <w:rsid w:val="0071760E"/>
    <w:rsid w:val="007328E4"/>
    <w:rsid w:val="00732C7F"/>
    <w:rsid w:val="0073490C"/>
    <w:rsid w:val="00736A7C"/>
    <w:rsid w:val="0074289B"/>
    <w:rsid w:val="0074436A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4480E"/>
    <w:rsid w:val="00845679"/>
    <w:rsid w:val="00875F87"/>
    <w:rsid w:val="008871DB"/>
    <w:rsid w:val="00890200"/>
    <w:rsid w:val="008A01DB"/>
    <w:rsid w:val="008B2C70"/>
    <w:rsid w:val="008B44A7"/>
    <w:rsid w:val="008C4054"/>
    <w:rsid w:val="008D156C"/>
    <w:rsid w:val="008D47B8"/>
    <w:rsid w:val="008D7AC3"/>
    <w:rsid w:val="009120BA"/>
    <w:rsid w:val="00914F28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E7650"/>
    <w:rsid w:val="00BF446F"/>
    <w:rsid w:val="00BF5B14"/>
    <w:rsid w:val="00C025E9"/>
    <w:rsid w:val="00C068E1"/>
    <w:rsid w:val="00C06C95"/>
    <w:rsid w:val="00C12A7F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0038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05E8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E9069-C8EF-4100-974A-81376270E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5</cp:revision>
  <dcterms:created xsi:type="dcterms:W3CDTF">2021-04-19T14:14:00Z</dcterms:created>
  <dcterms:modified xsi:type="dcterms:W3CDTF">2021-04-19T14:52:00Z</dcterms:modified>
</cp:coreProperties>
</file>