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C65BF4" w14:textId="77777777" w:rsidR="00BC1127" w:rsidRDefault="00557C5F" w:rsidP="001E7DE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E695C">
        <w:rPr>
          <w:rFonts w:ascii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343801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9D84F67" w14:textId="38DE2E25" w:rsidR="00343801" w:rsidRDefault="00343801" w:rsidP="00BC112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43801">
        <w:rPr>
          <w:rFonts w:ascii="Arial" w:eastAsia="Arial" w:hAnsi="Arial" w:cs="Arial"/>
          <w:b/>
          <w:sz w:val="32"/>
          <w:szCs w:val="32"/>
        </w:rPr>
        <w:t>Storm Surge</w:t>
      </w:r>
      <w:r w:rsidR="00BC1127">
        <w:rPr>
          <w:rFonts w:ascii="Arial" w:eastAsia="Arial" w:hAnsi="Arial" w:cs="Arial"/>
          <w:b/>
          <w:sz w:val="32"/>
          <w:szCs w:val="32"/>
        </w:rPr>
        <w:t xml:space="preserve"> </w:t>
      </w:r>
      <w:r w:rsidRPr="00343801">
        <w:rPr>
          <w:rFonts w:ascii="Arial" w:eastAsia="Arial" w:hAnsi="Arial" w:cs="Arial"/>
          <w:b/>
          <w:sz w:val="32"/>
          <w:szCs w:val="32"/>
        </w:rPr>
        <w:t xml:space="preserve">in </w:t>
      </w:r>
      <w:r w:rsidR="001E7DE9">
        <w:rPr>
          <w:rFonts w:ascii="Arial" w:eastAsia="Arial" w:hAnsi="Arial" w:cs="Arial"/>
          <w:b/>
          <w:sz w:val="32"/>
          <w:szCs w:val="32"/>
        </w:rPr>
        <w:t>Omar, Sulu</w:t>
      </w:r>
    </w:p>
    <w:p w14:paraId="64C8B869" w14:textId="52FB7074" w:rsidR="00AE695C" w:rsidRPr="000C753A" w:rsidRDefault="00AE695C" w:rsidP="00AE695C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64EDD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 w:rsidRPr="00564EDD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4BB58D9" w14:textId="77777777" w:rsidR="00AE695C" w:rsidRPr="00CC64C8" w:rsidRDefault="00AE695C" w:rsidP="00AE695C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C64C8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4B266473" w14:textId="1FBF978D" w:rsidR="00343801" w:rsidRDefault="001E7DE9" w:rsidP="00AE695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On 14 January 2021, the municipality of Omar, Sulu experienced hea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y rains and strong winds due to localized thunderstorm brought by the Low</w:t>
      </w:r>
      <w:r w:rsidR="007B258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Pressure Area (LPA). This has resulted to storm surge that hit the coastal areas in the said area.</w:t>
      </w:r>
    </w:p>
    <w:p w14:paraId="42E4C4A4" w14:textId="77777777" w:rsidR="00AE695C" w:rsidRDefault="00AE695C" w:rsidP="0034380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96463D" w14:textId="1644880B" w:rsidR="00F35540" w:rsidRPr="00087B58" w:rsidRDefault="00AE4967" w:rsidP="0034380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E695C">
        <w:rPr>
          <w:rFonts w:ascii="Arial" w:eastAsia="Arial" w:hAnsi="Arial" w:cs="Arial"/>
          <w:i/>
          <w:color w:val="0070C0"/>
          <w:sz w:val="16"/>
        </w:rPr>
        <w:t>DSWD-Field Office (FO</w:t>
      </w:r>
      <w:bookmarkStart w:id="0" w:name="_30j0zll" w:colFirst="0" w:colLast="0"/>
      <w:bookmarkEnd w:id="0"/>
      <w:r w:rsidR="00AE695C">
        <w:rPr>
          <w:rFonts w:ascii="Arial" w:eastAsia="Arial" w:hAnsi="Arial" w:cs="Arial"/>
          <w:i/>
          <w:color w:val="0070C0"/>
          <w:sz w:val="16"/>
        </w:rPr>
        <w:t>) I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BE2A79A" w14:textId="77777777" w:rsidR="00AE695C" w:rsidRDefault="00AE695C" w:rsidP="00AE695C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AB36CA1" w14:textId="2E772567" w:rsidR="00AE695C" w:rsidRPr="00AE695C" w:rsidRDefault="00AE695C" w:rsidP="00AE695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E695C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7BACD7C8" w14:textId="77777777" w:rsidR="00B3727D" w:rsidRDefault="00B3727D" w:rsidP="00AE695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7B0C3F6C" w14:textId="0517C352" w:rsidR="00470FE4" w:rsidRPr="00AA562C" w:rsidRDefault="0023610A" w:rsidP="00AE695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A562C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500</w:t>
      </w:r>
      <w:r w:rsidR="00AA6CEC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2,500</w:t>
      </w:r>
      <w:r w:rsidR="0018255F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AA562C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344A9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two (</w:t>
      </w:r>
      <w:r w:rsidR="00FE17B0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2</w:t>
      </w:r>
      <w:r w:rsidR="002344A9" w:rsidRPr="00AA562C">
        <w:rPr>
          <w:rFonts w:ascii="Arial" w:eastAsia="Arial" w:hAnsi="Arial" w:cs="Arial"/>
          <w:b/>
          <w:bCs/>
          <w:color w:val="auto"/>
          <w:sz w:val="24"/>
          <w:szCs w:val="24"/>
        </w:rPr>
        <w:t>)</w:t>
      </w:r>
      <w:r w:rsidR="00FE17B0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B2586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barangays </w:t>
      </w:r>
      <w:r w:rsidR="00FE17B0" w:rsidRPr="00AA562C">
        <w:rPr>
          <w:rFonts w:ascii="Arial" w:eastAsia="Arial" w:hAnsi="Arial" w:cs="Arial"/>
          <w:bCs/>
          <w:color w:val="auto"/>
          <w:sz w:val="24"/>
          <w:szCs w:val="24"/>
        </w:rPr>
        <w:t>in</w:t>
      </w:r>
      <w:r w:rsidR="00393D9C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212A" w:rsidRPr="00AA562C">
        <w:rPr>
          <w:rFonts w:ascii="Arial" w:eastAsia="Arial" w:hAnsi="Arial" w:cs="Arial"/>
          <w:b/>
          <w:color w:val="auto"/>
          <w:sz w:val="24"/>
          <w:szCs w:val="24"/>
        </w:rPr>
        <w:t>Omar, Sulu</w:t>
      </w:r>
      <w:r w:rsidR="00AC6D14" w:rsidRPr="00AA562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AA562C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AA562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AA562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695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659" w:type="pct"/>
        <w:tblInd w:w="704" w:type="dxa"/>
        <w:tblLook w:val="04A0" w:firstRow="1" w:lastRow="0" w:firstColumn="1" w:lastColumn="0" w:noHBand="0" w:noVBand="1"/>
      </w:tblPr>
      <w:tblGrid>
        <w:gridCol w:w="349"/>
        <w:gridCol w:w="4471"/>
        <w:gridCol w:w="1417"/>
        <w:gridCol w:w="1417"/>
        <w:gridCol w:w="1419"/>
      </w:tblGrid>
      <w:tr w:rsidR="00F2212A" w:rsidRPr="00F2212A" w14:paraId="5B856FC4" w14:textId="77777777" w:rsidTr="00AE695C">
        <w:trPr>
          <w:trHeight w:val="60"/>
        </w:trPr>
        <w:tc>
          <w:tcPr>
            <w:tcW w:w="2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555A5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D34ED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2212A" w:rsidRPr="00F2212A" w14:paraId="3DA3AC26" w14:textId="77777777" w:rsidTr="00B3727D">
        <w:trPr>
          <w:trHeight w:val="60"/>
        </w:trPr>
        <w:tc>
          <w:tcPr>
            <w:tcW w:w="2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0191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FF88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0F5A78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0E833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2212A" w:rsidRPr="00F2212A" w14:paraId="54BFFC59" w14:textId="77777777" w:rsidTr="00B3727D">
        <w:trPr>
          <w:trHeight w:val="2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DE036B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5F43E" w14:textId="16B7F89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7B63A" w14:textId="2016B25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46C8C1" w14:textId="1C3C6913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3A3FD6C7" w14:textId="77777777" w:rsidTr="00B3727D">
        <w:trPr>
          <w:trHeight w:val="2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40B65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7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F7FBF" w14:textId="189B69C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F483F2" w14:textId="58B440C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6D8A6" w14:textId="083D50E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68455C8C" w14:textId="77777777" w:rsidTr="00B3727D">
        <w:trPr>
          <w:trHeight w:val="20"/>
        </w:trPr>
        <w:tc>
          <w:tcPr>
            <w:tcW w:w="2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F704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3216B" w14:textId="48DBA4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5E69A" w14:textId="27261612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C8EE4" w14:textId="6F40D2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2,500 </w:t>
            </w:r>
          </w:p>
        </w:tc>
      </w:tr>
      <w:tr w:rsidR="00F2212A" w:rsidRPr="00F2212A" w14:paraId="57667684" w14:textId="77777777" w:rsidTr="00B3727D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C660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644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7DF7" w14:textId="08D8F66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5C12" w14:textId="4F460429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1B99" w14:textId="043BE3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2,500 </w:t>
            </w:r>
          </w:p>
        </w:tc>
      </w:tr>
    </w:tbl>
    <w:p w14:paraId="792D6574" w14:textId="52F0D0E9" w:rsidR="001E7DE9" w:rsidRPr="00AE695C" w:rsidRDefault="00E04AE5" w:rsidP="00AE695C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F4AA2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2864B704" w14:textId="77777777" w:rsidR="001E7DE9" w:rsidRDefault="001E7DE9" w:rsidP="001E7DE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3E9088" w14:textId="08FDF80A" w:rsidR="001E7DE9" w:rsidRPr="00AE695C" w:rsidRDefault="00AE695C" w:rsidP="00AE695C">
      <w:pPr>
        <w:pStyle w:val="ListParagraph"/>
        <w:numPr>
          <w:ilvl w:val="0"/>
          <w:numId w:val="26"/>
        </w:numPr>
        <w:spacing w:after="0" w:line="240" w:lineRule="auto"/>
        <w:ind w:right="6345"/>
        <w:rPr>
          <w:rFonts w:ascii="Arial" w:eastAsia="Arial" w:hAnsi="Arial" w:cs="Arial"/>
          <w:color w:val="000000" w:themeColor="text1"/>
          <w:sz w:val="28"/>
          <w:szCs w:val="28"/>
        </w:rPr>
      </w:pPr>
      <w:r w:rsidRPr="00AE695C">
        <w:rPr>
          <w:rFonts w:ascii="Arial" w:eastAsia="Arial" w:hAnsi="Arial" w:cs="Arial"/>
          <w:b/>
          <w:color w:val="002060"/>
          <w:sz w:val="28"/>
          <w:szCs w:val="28"/>
        </w:rPr>
        <w:t>Damaged Houses</w:t>
      </w:r>
    </w:p>
    <w:p w14:paraId="31C18B0A" w14:textId="77777777" w:rsidR="00B3727D" w:rsidRDefault="00B3727D" w:rsidP="00AE695C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</w:p>
    <w:p w14:paraId="2BFF3137" w14:textId="4C4943F9" w:rsidR="00D34D09" w:rsidRPr="00AA562C" w:rsidRDefault="00D34D09" w:rsidP="00B3727D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 w:rsidRPr="00AA562C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 xml:space="preserve">500 </w:t>
      </w:r>
      <w:r w:rsidRPr="00AA562C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>65</w:t>
      </w:r>
      <w:r w:rsidR="005512D5" w:rsidRPr="00AA562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E695C">
        <w:rPr>
          <w:rFonts w:ascii="Arial" w:hAnsi="Arial" w:cs="Arial"/>
          <w:bCs/>
          <w:color w:val="auto"/>
          <w:sz w:val="24"/>
          <w:szCs w:val="24"/>
        </w:rPr>
        <w:t>are</w:t>
      </w:r>
      <w:r w:rsidRPr="00AA562C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 and </w:t>
      </w:r>
      <w:r w:rsidR="00F2212A" w:rsidRPr="00AA562C">
        <w:rPr>
          <w:rFonts w:ascii="Arial" w:hAnsi="Arial" w:cs="Arial"/>
          <w:b/>
          <w:color w:val="auto"/>
          <w:sz w:val="24"/>
          <w:szCs w:val="24"/>
        </w:rPr>
        <w:t xml:space="preserve">435 </w:t>
      </w:r>
      <w:r w:rsidR="00AE695C">
        <w:rPr>
          <w:rFonts w:ascii="Arial" w:hAnsi="Arial" w:cs="Arial"/>
          <w:bCs/>
          <w:color w:val="auto"/>
          <w:sz w:val="24"/>
          <w:szCs w:val="24"/>
        </w:rPr>
        <w:t>are</w:t>
      </w:r>
      <w:r w:rsidR="005512D5" w:rsidRPr="00AA562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A562C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AA562C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F2212A" w:rsidRPr="00AA562C">
        <w:rPr>
          <w:rFonts w:ascii="Arial" w:hAnsi="Arial" w:cs="Arial"/>
          <w:color w:val="auto"/>
          <w:sz w:val="24"/>
          <w:szCs w:val="24"/>
        </w:rPr>
        <w:t>2</w:t>
      </w:r>
      <w:r w:rsidRPr="00AA562C">
        <w:rPr>
          <w:rFonts w:ascii="Arial" w:hAnsi="Arial" w:cs="Arial"/>
          <w:color w:val="auto"/>
          <w:sz w:val="24"/>
          <w:szCs w:val="24"/>
        </w:rPr>
        <w:t>).</w:t>
      </w:r>
    </w:p>
    <w:p w14:paraId="5178C1B2" w14:textId="77777777" w:rsidR="001E7DE9" w:rsidRPr="001E7DE9" w:rsidRDefault="001E7DE9" w:rsidP="001E7DE9">
      <w:pPr>
        <w:spacing w:after="0" w:line="240" w:lineRule="auto"/>
        <w:ind w:left="357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4C890ED" w14:textId="49952517" w:rsidR="00D34D09" w:rsidRPr="00D34D09" w:rsidRDefault="00D34D09" w:rsidP="00AE695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212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87" w:type="pct"/>
        <w:tblInd w:w="648" w:type="dxa"/>
        <w:tblLook w:val="04A0" w:firstRow="1" w:lastRow="0" w:firstColumn="1" w:lastColumn="0" w:noHBand="0" w:noVBand="1"/>
      </w:tblPr>
      <w:tblGrid>
        <w:gridCol w:w="368"/>
        <w:gridCol w:w="4790"/>
        <w:gridCol w:w="1276"/>
        <w:gridCol w:w="1276"/>
        <w:gridCol w:w="1417"/>
      </w:tblGrid>
      <w:tr w:rsidR="00F2212A" w:rsidRPr="00F2212A" w14:paraId="48277842" w14:textId="77777777" w:rsidTr="00AE695C">
        <w:trPr>
          <w:trHeight w:val="20"/>
        </w:trPr>
        <w:tc>
          <w:tcPr>
            <w:tcW w:w="2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C47A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591CE" w14:textId="15D9270A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2212A" w:rsidRPr="00F2212A" w14:paraId="37B8130A" w14:textId="77777777" w:rsidTr="00AE695C">
        <w:trPr>
          <w:trHeight w:val="20"/>
        </w:trPr>
        <w:tc>
          <w:tcPr>
            <w:tcW w:w="28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C80D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C56F77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5212C6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A7415F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212A" w:rsidRPr="00F2212A" w14:paraId="7110B53F" w14:textId="77777777" w:rsidTr="00AE695C">
        <w:trPr>
          <w:trHeight w:val="20"/>
        </w:trPr>
        <w:tc>
          <w:tcPr>
            <w:tcW w:w="2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CB82E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F28ADD" w14:textId="43DCB11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60512" w14:textId="474CE3E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BD53A3" w14:textId="48E62671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77BA5372" w14:textId="77777777" w:rsidTr="00AE695C">
        <w:trPr>
          <w:trHeight w:val="20"/>
        </w:trPr>
        <w:tc>
          <w:tcPr>
            <w:tcW w:w="2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061C2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23411" w14:textId="67B13B94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469B6" w14:textId="0BCFBA68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98366B" w14:textId="3D75FECD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10056478" w14:textId="77777777" w:rsidTr="00AE695C">
        <w:trPr>
          <w:trHeight w:val="20"/>
        </w:trPr>
        <w:tc>
          <w:tcPr>
            <w:tcW w:w="2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0350C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FF848" w14:textId="0762368E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4C3B6" w14:textId="16637D75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509FD" w14:textId="4200EB10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435 </w:t>
            </w:r>
          </w:p>
        </w:tc>
      </w:tr>
      <w:tr w:rsidR="00F2212A" w:rsidRPr="00F2212A" w14:paraId="4718430F" w14:textId="77777777" w:rsidTr="00AE695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C09E3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2F72" w14:textId="77777777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E40E" w14:textId="53B37436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DD67" w14:textId="78D2901F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9CF9" w14:textId="1AA768AB" w:rsidR="00F2212A" w:rsidRPr="00F2212A" w:rsidRDefault="00F2212A" w:rsidP="00F221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2212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435 </w:t>
            </w:r>
          </w:p>
        </w:tc>
      </w:tr>
    </w:tbl>
    <w:p w14:paraId="4DDC4E5C" w14:textId="036600E6" w:rsidR="00D34D09" w:rsidRPr="00AE695C" w:rsidRDefault="0018255F" w:rsidP="00AE695C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AE695C">
        <w:rPr>
          <w:rFonts w:ascii="Arial" w:hAnsi="Arial" w:cs="Arial"/>
          <w:bCs/>
          <w:i/>
          <w:sz w:val="16"/>
          <w:szCs w:val="16"/>
          <w:lang w:val="en-PH"/>
        </w:rPr>
        <w:tab/>
      </w:r>
      <w:r w:rsidR="00D34D09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E7DE9"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716819DA" w14:textId="77777777" w:rsidR="00AE695C" w:rsidRPr="00AE695C" w:rsidRDefault="00AE695C" w:rsidP="00AE695C">
      <w:pPr>
        <w:pStyle w:val="ListParagraph"/>
        <w:spacing w:after="0" w:line="240" w:lineRule="auto"/>
        <w:ind w:right="-34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6599430" w14:textId="27B8016D" w:rsidR="00AE695C" w:rsidRPr="00CC64C8" w:rsidRDefault="00AE695C" w:rsidP="00AE695C">
      <w:pPr>
        <w:pStyle w:val="NoSpacing"/>
        <w:numPr>
          <w:ilvl w:val="0"/>
          <w:numId w:val="26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C64C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353C86A" w14:textId="45EC9AC2" w:rsidR="00B4621A" w:rsidRPr="001705A3" w:rsidRDefault="00AA562C" w:rsidP="00AE695C">
      <w:pPr>
        <w:pStyle w:val="ListParagraph"/>
        <w:spacing w:after="0" w:line="240" w:lineRule="auto"/>
        <w:ind w:right="-34"/>
        <w:jc w:val="both"/>
        <w:rPr>
          <w:rFonts w:ascii="Arial" w:eastAsia="Arial" w:hAnsi="Arial" w:cs="Arial"/>
          <w:color w:val="auto"/>
          <w:sz w:val="16"/>
          <w:szCs w:val="16"/>
        </w:rPr>
      </w:pPr>
      <w:r w:rsidRPr="001705A3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705A3">
        <w:rPr>
          <w:rFonts w:ascii="Arial" w:hAnsi="Arial" w:cs="Arial"/>
          <w:b/>
          <w:bCs/>
          <w:color w:val="auto"/>
          <w:sz w:val="24"/>
          <w:szCs w:val="24"/>
        </w:rPr>
        <w:t>₱1,122,245.00</w:t>
      </w:r>
      <w:r w:rsidRPr="001705A3">
        <w:rPr>
          <w:rFonts w:ascii="Arial" w:hAnsi="Arial" w:cs="Arial"/>
          <w:color w:val="auto"/>
          <w:sz w:val="24"/>
          <w:szCs w:val="24"/>
        </w:rPr>
        <w:t xml:space="preserve"> worth of assistance was provided by the </w:t>
      </w:r>
      <w:r w:rsidRPr="001705A3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Pr="001705A3">
        <w:rPr>
          <w:rFonts w:ascii="Arial" w:hAnsi="Arial" w:cs="Arial"/>
          <w:color w:val="auto"/>
          <w:sz w:val="24"/>
          <w:szCs w:val="24"/>
        </w:rPr>
        <w:t xml:space="preserve"> to the affected families (see Table 3).</w:t>
      </w:r>
    </w:p>
    <w:p w14:paraId="5487165C" w14:textId="0C8E7059" w:rsidR="00AA562C" w:rsidRDefault="00AA562C" w:rsidP="00AA562C">
      <w:pPr>
        <w:pStyle w:val="ListParagraph"/>
        <w:spacing w:after="0" w:line="240" w:lineRule="auto"/>
        <w:ind w:left="360" w:right="-34"/>
        <w:rPr>
          <w:rFonts w:ascii="Arial" w:hAnsi="Arial" w:cs="Arial"/>
          <w:sz w:val="24"/>
          <w:szCs w:val="24"/>
        </w:rPr>
      </w:pPr>
    </w:p>
    <w:p w14:paraId="4F78ACB2" w14:textId="13BB6EDC" w:rsidR="00AA562C" w:rsidRPr="00AA562C" w:rsidRDefault="00AA562C" w:rsidP="00AE695C">
      <w:pPr>
        <w:pStyle w:val="ListParagraph"/>
        <w:spacing w:after="0" w:line="240" w:lineRule="auto"/>
        <w:ind w:left="284" w:right="-34" w:firstLine="436"/>
        <w:rPr>
          <w:rFonts w:ascii="Arial" w:hAnsi="Arial" w:cs="Arial"/>
          <w:b/>
          <w:bCs/>
          <w:i/>
          <w:iCs/>
          <w:sz w:val="20"/>
          <w:szCs w:val="20"/>
        </w:rPr>
      </w:pPr>
      <w:r w:rsidRPr="00AA562C">
        <w:rPr>
          <w:rFonts w:ascii="Arial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AA562C">
        <w:rPr>
          <w:rFonts w:ascii="Arial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659" w:type="pct"/>
        <w:tblInd w:w="704" w:type="dxa"/>
        <w:tblLook w:val="04A0" w:firstRow="1" w:lastRow="0" w:firstColumn="1" w:lastColumn="0" w:noHBand="0" w:noVBand="1"/>
      </w:tblPr>
      <w:tblGrid>
        <w:gridCol w:w="273"/>
        <w:gridCol w:w="2794"/>
        <w:gridCol w:w="1558"/>
        <w:gridCol w:w="706"/>
        <w:gridCol w:w="873"/>
        <w:gridCol w:w="1050"/>
        <w:gridCol w:w="1819"/>
      </w:tblGrid>
      <w:tr w:rsidR="00AA562C" w:rsidRPr="00AA562C" w14:paraId="5E610900" w14:textId="77777777" w:rsidTr="00AE695C">
        <w:trPr>
          <w:trHeight w:val="20"/>
        </w:trPr>
        <w:tc>
          <w:tcPr>
            <w:tcW w:w="17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518C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89752D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E695C" w:rsidRPr="00AA562C" w14:paraId="69BC6403" w14:textId="77777777" w:rsidTr="00AE695C">
        <w:trPr>
          <w:trHeight w:val="20"/>
        </w:trPr>
        <w:tc>
          <w:tcPr>
            <w:tcW w:w="17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9A6D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C21A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F436F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EDBB90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413344" w14:textId="7154C925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89B22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E695C" w:rsidRPr="00AA562C" w14:paraId="6038EF72" w14:textId="77777777" w:rsidTr="00AE695C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F4876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67B9C1A" w14:textId="0FC4EAE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F2064FE" w14:textId="7521BB8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8CF2C0D" w14:textId="2733385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ED9EF5F" w14:textId="122242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C10AFF" w14:textId="475C846E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E695C" w:rsidRPr="00AA562C" w14:paraId="44F120FE" w14:textId="77777777" w:rsidTr="00AE695C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46C567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BARMM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0FC3DA" w14:textId="43514874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0D96E51" w14:textId="2B33E56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6A0E63" w14:textId="1F2C0975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B6DAA2" w14:textId="17CA11B0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4EE5D8F" w14:textId="3E154489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E695C" w:rsidRPr="00AA562C" w14:paraId="7280ECA2" w14:textId="77777777" w:rsidTr="00AE695C">
        <w:trPr>
          <w:trHeight w:val="20"/>
        </w:trPr>
        <w:tc>
          <w:tcPr>
            <w:tcW w:w="1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B8E75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Sulu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E504B6" w14:textId="50F30D1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F2644E" w14:textId="325ACF25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FEC1EE" w14:textId="0F92A586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6286C8" w14:textId="3891880E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D9466E" w14:textId="421D5109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1,122,245.00 </w:t>
            </w:r>
          </w:p>
        </w:tc>
      </w:tr>
      <w:tr w:rsidR="00AA562C" w:rsidRPr="00AA562C" w14:paraId="624DC466" w14:textId="77777777" w:rsidTr="00AE695C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ECB9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6860" w14:textId="77777777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Omar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E553" w14:textId="79BA98D6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1,122,245.00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4857" w14:textId="34F118A8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0B5E" w14:textId="411EC3CD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0638" w14:textId="5C81E63C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497D" w14:textId="7E6A6781" w:rsidR="00AA562C" w:rsidRPr="00AA562C" w:rsidRDefault="00AA562C" w:rsidP="00AA56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A562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1,122,245.00 </w:t>
            </w:r>
          </w:p>
        </w:tc>
      </w:tr>
    </w:tbl>
    <w:p w14:paraId="345BFDC1" w14:textId="5211BED0" w:rsidR="00AA562C" w:rsidRDefault="00AA562C" w:rsidP="00AE695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IX</w:t>
      </w:r>
    </w:p>
    <w:p w14:paraId="177FAAD8" w14:textId="77777777" w:rsidR="0020009E" w:rsidRDefault="0020009E" w:rsidP="00AE695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6B42116" w14:textId="77777777" w:rsidR="0020009E" w:rsidRDefault="002000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67553968" w14:textId="51D6C0ED" w:rsidR="00AE695C" w:rsidRPr="000B51D8" w:rsidRDefault="00AE695C" w:rsidP="00AE695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4B88394D" w14:textId="7B9774B2" w:rsidR="00AE695C" w:rsidRPr="00564EDD" w:rsidRDefault="00AE695C" w:rsidP="00AE695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IX 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08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Octo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ber 2021. The Disaster Response Operations Monitoring and Information Center (DROMIC) of DSWD-DRMB continues to closely coordinate with DSWD-FO </w:t>
      </w:r>
      <w:r w:rsidR="00F9323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564ED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X for any request of Technical Assistance and Resource Augmentation (TARA). </w:t>
      </w:r>
    </w:p>
    <w:p w14:paraId="440B15BD" w14:textId="77777777" w:rsidR="00AE695C" w:rsidRDefault="00AE695C" w:rsidP="00AE695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84DDA89" w14:textId="77777777" w:rsidR="00AE695C" w:rsidRDefault="00AE695C" w:rsidP="00AE695C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AE695C" w:rsidRPr="00D23BDC" w14:paraId="3DD50DF6" w14:textId="77777777" w:rsidTr="00AA6F95">
        <w:tc>
          <w:tcPr>
            <w:tcW w:w="4868" w:type="dxa"/>
          </w:tcPr>
          <w:p w14:paraId="5DC5A2AB" w14:textId="77777777" w:rsidR="00AE695C" w:rsidRPr="00D23BDC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1FE5F5A" w14:textId="77777777" w:rsidR="00AE695C" w:rsidRPr="00D23BDC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9CC262" w14:textId="77777777" w:rsidR="00AE695C" w:rsidRPr="008F6E9B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16D9F669" w14:textId="77777777" w:rsidR="00AE695C" w:rsidRPr="00D23BDC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2CEC53A" w14:textId="77777777" w:rsidR="00AE695C" w:rsidRPr="00D23BDC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12CEC" w14:textId="77777777" w:rsidR="00AE695C" w:rsidRPr="00D23BDC" w:rsidRDefault="00AE695C" w:rsidP="00AA6F9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EDD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2A115F10" w14:textId="5F47FA2B" w:rsidR="00584FCB" w:rsidRPr="00087B58" w:rsidRDefault="00584FCB" w:rsidP="00AE695C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F683" w14:textId="77777777" w:rsidR="008F4819" w:rsidRDefault="008F4819">
      <w:pPr>
        <w:spacing w:after="0" w:line="240" w:lineRule="auto"/>
      </w:pPr>
      <w:r>
        <w:separator/>
      </w:r>
    </w:p>
  </w:endnote>
  <w:endnote w:type="continuationSeparator" w:id="0">
    <w:p w14:paraId="3BE8F0BF" w14:textId="77777777" w:rsidR="008F4819" w:rsidRDefault="008F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8216E90" w:rsidR="00470FE4" w:rsidRPr="006404CC" w:rsidRDefault="00E76F7B" w:rsidP="00AA562C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AA562C">
      <w:rPr>
        <w:rFonts w:ascii="Arial" w:hAnsi="Arial" w:cs="Arial"/>
        <w:sz w:val="14"/>
        <w:szCs w:val="16"/>
      </w:rPr>
      <w:t xml:space="preserve">DSWD DROMIC </w:t>
    </w:r>
    <w:r>
      <w:rPr>
        <w:rFonts w:ascii="Arial" w:hAnsi="Arial" w:cs="Arial"/>
        <w:sz w:val="14"/>
        <w:szCs w:val="16"/>
      </w:rPr>
      <w:t xml:space="preserve">Terminal Report </w:t>
    </w:r>
    <w:r w:rsidRPr="00AA562C">
      <w:rPr>
        <w:rFonts w:ascii="Arial" w:hAnsi="Arial" w:cs="Arial"/>
        <w:sz w:val="14"/>
        <w:szCs w:val="16"/>
      </w:rPr>
      <w:t>on the Storm Surge in Omar, Sulu</w:t>
    </w:r>
    <w:r>
      <w:rPr>
        <w:rFonts w:ascii="Arial" w:hAnsi="Arial" w:cs="Arial"/>
        <w:sz w:val="14"/>
        <w:szCs w:val="16"/>
      </w:rPr>
      <w:t xml:space="preserve">, 04 November </w:t>
    </w:r>
    <w:r w:rsidRPr="00AA562C">
      <w:rPr>
        <w:rFonts w:ascii="Arial" w:hAnsi="Arial" w:cs="Arial"/>
        <w:sz w:val="14"/>
        <w:szCs w:val="16"/>
      </w:rPr>
      <w:t>2021, 6PM</w:t>
    </w:r>
    <w:r w:rsidRPr="006404CC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 xml:space="preserve">| </w:t>
    </w:r>
    <w:r w:rsidR="00FC54C7" w:rsidRPr="006404CC">
      <w:rPr>
        <w:rFonts w:ascii="Arial" w:hAnsi="Arial" w:cs="Arial"/>
        <w:sz w:val="14"/>
        <w:szCs w:val="16"/>
      </w:rPr>
      <w:t xml:space="preserve">Page </w:t>
    </w:r>
    <w:r w:rsidR="00FC54C7" w:rsidRPr="006404CC">
      <w:rPr>
        <w:rFonts w:ascii="Arial" w:hAnsi="Arial" w:cs="Arial"/>
        <w:b/>
        <w:sz w:val="14"/>
        <w:szCs w:val="16"/>
      </w:rPr>
      <w:fldChar w:fldCharType="begin"/>
    </w:r>
    <w:r w:rsidR="00FC54C7" w:rsidRPr="006404CC">
      <w:rPr>
        <w:rFonts w:ascii="Arial" w:hAnsi="Arial" w:cs="Arial"/>
        <w:b/>
        <w:sz w:val="14"/>
        <w:szCs w:val="16"/>
      </w:rPr>
      <w:instrText>PAGE</w:instrText>
    </w:r>
    <w:r w:rsidR="00FC54C7" w:rsidRPr="006404CC">
      <w:rPr>
        <w:rFonts w:ascii="Arial" w:hAnsi="Arial" w:cs="Arial"/>
        <w:b/>
        <w:sz w:val="14"/>
        <w:szCs w:val="16"/>
      </w:rPr>
      <w:fldChar w:fldCharType="separate"/>
    </w:r>
    <w:r>
      <w:rPr>
        <w:rFonts w:ascii="Arial" w:hAnsi="Arial" w:cs="Arial"/>
        <w:b/>
        <w:noProof/>
        <w:sz w:val="14"/>
        <w:szCs w:val="16"/>
      </w:rPr>
      <w:t>2</w:t>
    </w:r>
    <w:r w:rsidR="00FC54C7" w:rsidRPr="006404CC">
      <w:rPr>
        <w:rFonts w:ascii="Arial" w:hAnsi="Arial" w:cs="Arial"/>
        <w:b/>
        <w:sz w:val="14"/>
        <w:szCs w:val="16"/>
      </w:rPr>
      <w:fldChar w:fldCharType="end"/>
    </w:r>
    <w:r w:rsidR="00FC54C7" w:rsidRPr="006404CC">
      <w:rPr>
        <w:rFonts w:ascii="Arial" w:hAnsi="Arial" w:cs="Arial"/>
        <w:sz w:val="14"/>
        <w:szCs w:val="16"/>
      </w:rPr>
      <w:t xml:space="preserve"> of </w:t>
    </w:r>
    <w:r w:rsidR="00FC54C7" w:rsidRPr="006404CC">
      <w:rPr>
        <w:rFonts w:ascii="Arial" w:hAnsi="Arial" w:cs="Arial"/>
        <w:b/>
        <w:sz w:val="14"/>
        <w:szCs w:val="16"/>
      </w:rPr>
      <w:fldChar w:fldCharType="begin"/>
    </w:r>
    <w:r w:rsidR="00FC54C7" w:rsidRPr="006404CC">
      <w:rPr>
        <w:rFonts w:ascii="Arial" w:hAnsi="Arial" w:cs="Arial"/>
        <w:b/>
        <w:sz w:val="14"/>
        <w:szCs w:val="16"/>
      </w:rPr>
      <w:instrText>NUMPAGES</w:instrText>
    </w:r>
    <w:r w:rsidR="00FC54C7" w:rsidRPr="006404CC">
      <w:rPr>
        <w:rFonts w:ascii="Arial" w:hAnsi="Arial" w:cs="Arial"/>
        <w:b/>
        <w:sz w:val="14"/>
        <w:szCs w:val="16"/>
      </w:rPr>
      <w:fldChar w:fldCharType="separate"/>
    </w:r>
    <w:r>
      <w:rPr>
        <w:rFonts w:ascii="Arial" w:hAnsi="Arial" w:cs="Arial"/>
        <w:b/>
        <w:noProof/>
        <w:sz w:val="14"/>
        <w:szCs w:val="16"/>
      </w:rPr>
      <w:t>2</w:t>
    </w:r>
    <w:r w:rsidR="00FC54C7" w:rsidRPr="006404CC">
      <w:rPr>
        <w:rFonts w:ascii="Arial" w:hAnsi="Arial" w:cs="Arial"/>
        <w:b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B7DE" w14:textId="77777777" w:rsidR="008F4819" w:rsidRDefault="008F4819">
      <w:pPr>
        <w:spacing w:after="0" w:line="240" w:lineRule="auto"/>
      </w:pPr>
      <w:r>
        <w:separator/>
      </w:r>
    </w:p>
  </w:footnote>
  <w:footnote w:type="continuationSeparator" w:id="0">
    <w:p w14:paraId="309915AB" w14:textId="77777777" w:rsidR="008F4819" w:rsidRDefault="008F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4CF"/>
    <w:multiLevelType w:val="hybridMultilevel"/>
    <w:tmpl w:val="BF720424"/>
    <w:lvl w:ilvl="0" w:tplc="793A2A14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38461A"/>
    <w:multiLevelType w:val="hybridMultilevel"/>
    <w:tmpl w:val="1A905190"/>
    <w:lvl w:ilvl="0" w:tplc="1876DEBA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6A99"/>
    <w:multiLevelType w:val="hybridMultilevel"/>
    <w:tmpl w:val="1BEEC992"/>
    <w:lvl w:ilvl="0" w:tplc="8AE4E5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43F79"/>
    <w:multiLevelType w:val="hybridMultilevel"/>
    <w:tmpl w:val="391EAC00"/>
    <w:lvl w:ilvl="0" w:tplc="9CF4AB5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005A"/>
    <w:multiLevelType w:val="hybridMultilevel"/>
    <w:tmpl w:val="1BEEC992"/>
    <w:lvl w:ilvl="0" w:tplc="8AE4E55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8"/>
        <w:szCs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55A4B"/>
    <w:multiLevelType w:val="hybridMultilevel"/>
    <w:tmpl w:val="77DA5974"/>
    <w:lvl w:ilvl="0" w:tplc="5B66E10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16"/>
  </w:num>
  <w:num w:numId="5">
    <w:abstractNumId w:val="11"/>
  </w:num>
  <w:num w:numId="6">
    <w:abstractNumId w:val="24"/>
  </w:num>
  <w:num w:numId="7">
    <w:abstractNumId w:val="23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3"/>
  </w:num>
  <w:num w:numId="16">
    <w:abstractNumId w:val="21"/>
  </w:num>
  <w:num w:numId="17">
    <w:abstractNumId w:val="10"/>
  </w:num>
  <w:num w:numId="18">
    <w:abstractNumId w:val="2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705A3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E7DE9"/>
    <w:rsid w:val="001F3F13"/>
    <w:rsid w:val="001F48E2"/>
    <w:rsid w:val="001F4B02"/>
    <w:rsid w:val="001F5D51"/>
    <w:rsid w:val="0020009E"/>
    <w:rsid w:val="00201A4B"/>
    <w:rsid w:val="00203D98"/>
    <w:rsid w:val="00206883"/>
    <w:rsid w:val="00213534"/>
    <w:rsid w:val="00216048"/>
    <w:rsid w:val="0022209F"/>
    <w:rsid w:val="002344A9"/>
    <w:rsid w:val="0023610A"/>
    <w:rsid w:val="002476D6"/>
    <w:rsid w:val="002535AE"/>
    <w:rsid w:val="002737D6"/>
    <w:rsid w:val="00283279"/>
    <w:rsid w:val="00283C78"/>
    <w:rsid w:val="00286609"/>
    <w:rsid w:val="00286B32"/>
    <w:rsid w:val="0029317D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0698D"/>
    <w:rsid w:val="00310513"/>
    <w:rsid w:val="003143A7"/>
    <w:rsid w:val="003227DF"/>
    <w:rsid w:val="00324769"/>
    <w:rsid w:val="0033194F"/>
    <w:rsid w:val="00337C05"/>
    <w:rsid w:val="00343801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9C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1453E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0CB4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6C1"/>
    <w:rsid w:val="0073490C"/>
    <w:rsid w:val="00736A7C"/>
    <w:rsid w:val="0074289B"/>
    <w:rsid w:val="0075109A"/>
    <w:rsid w:val="00774AAD"/>
    <w:rsid w:val="007808C4"/>
    <w:rsid w:val="0078377A"/>
    <w:rsid w:val="00785AFB"/>
    <w:rsid w:val="00792BBD"/>
    <w:rsid w:val="00796B1E"/>
    <w:rsid w:val="007A20F1"/>
    <w:rsid w:val="007B2586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5393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8F4819"/>
    <w:rsid w:val="009120BA"/>
    <w:rsid w:val="009246DE"/>
    <w:rsid w:val="0092556A"/>
    <w:rsid w:val="00930B8F"/>
    <w:rsid w:val="009363AB"/>
    <w:rsid w:val="009376A4"/>
    <w:rsid w:val="00937C09"/>
    <w:rsid w:val="00945747"/>
    <w:rsid w:val="00946300"/>
    <w:rsid w:val="0095060C"/>
    <w:rsid w:val="0095307E"/>
    <w:rsid w:val="0095416E"/>
    <w:rsid w:val="00957050"/>
    <w:rsid w:val="009743A1"/>
    <w:rsid w:val="00975608"/>
    <w:rsid w:val="00983E8D"/>
    <w:rsid w:val="009867B6"/>
    <w:rsid w:val="00987357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562C"/>
    <w:rsid w:val="00AA6CEC"/>
    <w:rsid w:val="00AC6D14"/>
    <w:rsid w:val="00AE096E"/>
    <w:rsid w:val="00AE4967"/>
    <w:rsid w:val="00AE570A"/>
    <w:rsid w:val="00AE695C"/>
    <w:rsid w:val="00AF1169"/>
    <w:rsid w:val="00AF47F9"/>
    <w:rsid w:val="00AF4FCB"/>
    <w:rsid w:val="00AF5800"/>
    <w:rsid w:val="00B0192D"/>
    <w:rsid w:val="00B12799"/>
    <w:rsid w:val="00B173FF"/>
    <w:rsid w:val="00B25F5C"/>
    <w:rsid w:val="00B329E9"/>
    <w:rsid w:val="00B333AC"/>
    <w:rsid w:val="00B3727D"/>
    <w:rsid w:val="00B37C57"/>
    <w:rsid w:val="00B40381"/>
    <w:rsid w:val="00B432C3"/>
    <w:rsid w:val="00B4621A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127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1BDA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55D"/>
    <w:rsid w:val="00CD7DE8"/>
    <w:rsid w:val="00CE07C6"/>
    <w:rsid w:val="00CE12A3"/>
    <w:rsid w:val="00CE478E"/>
    <w:rsid w:val="00CF17E9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76F7B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0772B"/>
    <w:rsid w:val="00F12EAD"/>
    <w:rsid w:val="00F2212A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9323B"/>
    <w:rsid w:val="00FC54C7"/>
    <w:rsid w:val="00FD3497"/>
    <w:rsid w:val="00FD6C62"/>
    <w:rsid w:val="00FE17B0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paragraph" w:styleId="NoSpacing">
    <w:name w:val="No Spacing"/>
    <w:uiPriority w:val="1"/>
    <w:qFormat/>
    <w:rsid w:val="00AE69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AE69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236B-681D-4BEF-8776-DB996DE1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8</cp:revision>
  <dcterms:created xsi:type="dcterms:W3CDTF">2021-11-04T05:23:00Z</dcterms:created>
  <dcterms:modified xsi:type="dcterms:W3CDTF">2021-11-04T09:53:00Z</dcterms:modified>
</cp:coreProperties>
</file>