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60E9F2DE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4E3A0E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1CEDFE31" w14:textId="33057FF8" w:rsidR="008F66DA" w:rsidRDefault="00172936" w:rsidP="008F66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8F66DA" w:rsidRPr="008F66DA">
        <w:rPr>
          <w:rFonts w:ascii="Arial" w:eastAsia="Arial" w:hAnsi="Arial" w:cs="Arial"/>
          <w:b/>
          <w:sz w:val="32"/>
          <w:szCs w:val="24"/>
        </w:rPr>
        <w:t>Brgy. Tabok, Mandaue City</w:t>
      </w:r>
      <w:r w:rsidR="008F66DA">
        <w:rPr>
          <w:rFonts w:ascii="Arial" w:eastAsia="Arial" w:hAnsi="Arial" w:cs="Arial"/>
          <w:b/>
          <w:sz w:val="32"/>
          <w:szCs w:val="24"/>
        </w:rPr>
        <w:t>, Cebu</w:t>
      </w:r>
    </w:p>
    <w:p w14:paraId="19F00E7E" w14:textId="47583022" w:rsidR="00C14D9B" w:rsidRDefault="00172936" w:rsidP="008F66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4E3A0E">
        <w:rPr>
          <w:rFonts w:ascii="Arial" w:eastAsia="Arial" w:hAnsi="Arial" w:cs="Arial"/>
          <w:sz w:val="24"/>
          <w:szCs w:val="24"/>
        </w:rPr>
        <w:t>23</w:t>
      </w:r>
      <w:r w:rsidR="00A70AB5">
        <w:rPr>
          <w:rFonts w:ascii="Arial" w:eastAsia="Arial" w:hAnsi="Arial" w:cs="Arial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sz w:val="24"/>
          <w:szCs w:val="24"/>
        </w:rPr>
        <w:t>April</w:t>
      </w:r>
      <w:r w:rsidR="00A70AB5">
        <w:rPr>
          <w:rFonts w:ascii="Arial" w:eastAsia="Arial" w:hAnsi="Arial" w:cs="Arial"/>
          <w:sz w:val="24"/>
          <w:szCs w:val="24"/>
        </w:rPr>
        <w:t xml:space="preserve"> 202</w:t>
      </w:r>
      <w:r w:rsidR="008F66DA">
        <w:rPr>
          <w:rFonts w:ascii="Arial" w:eastAsia="Arial" w:hAnsi="Arial" w:cs="Arial"/>
          <w:sz w:val="24"/>
          <w:szCs w:val="24"/>
        </w:rPr>
        <w:t>1</w:t>
      </w:r>
      <w:r w:rsidR="00A70AB5">
        <w:rPr>
          <w:rFonts w:ascii="Arial" w:eastAsia="Arial" w:hAnsi="Arial" w:cs="Arial"/>
          <w:sz w:val="24"/>
          <w:szCs w:val="24"/>
        </w:rPr>
        <w:t xml:space="preserve">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5D413A3B" w:rsidR="00F90CA2" w:rsidRPr="00082B32" w:rsidRDefault="00A70AB5" w:rsidP="00082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8F66DA">
        <w:rPr>
          <w:rFonts w:ascii="Arial" w:eastAsia="Arial" w:hAnsi="Arial" w:cs="Arial"/>
          <w:color w:val="auto"/>
          <w:sz w:val="24"/>
          <w:szCs w:val="24"/>
        </w:rPr>
        <w:t>18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08E7">
        <w:rPr>
          <w:rFonts w:ascii="Arial" w:eastAsia="Arial" w:hAnsi="Arial" w:cs="Arial"/>
          <w:color w:val="auto"/>
          <w:sz w:val="24"/>
          <w:szCs w:val="24"/>
        </w:rPr>
        <w:t>April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8F66DA">
        <w:rPr>
          <w:rFonts w:ascii="Arial" w:eastAsia="Arial" w:hAnsi="Arial" w:cs="Arial"/>
          <w:color w:val="auto"/>
          <w:sz w:val="24"/>
          <w:szCs w:val="24"/>
        </w:rPr>
        <w:t>8</w:t>
      </w:r>
      <w:r w:rsidR="00082B32">
        <w:rPr>
          <w:rFonts w:ascii="Arial" w:eastAsia="Arial" w:hAnsi="Arial" w:cs="Arial"/>
          <w:color w:val="auto"/>
          <w:sz w:val="24"/>
          <w:szCs w:val="24"/>
        </w:rPr>
        <w:t>:</w:t>
      </w:r>
      <w:r w:rsidR="008F66DA">
        <w:rPr>
          <w:rFonts w:ascii="Arial" w:eastAsia="Arial" w:hAnsi="Arial" w:cs="Arial"/>
          <w:color w:val="auto"/>
          <w:sz w:val="24"/>
          <w:szCs w:val="24"/>
        </w:rPr>
        <w:t>00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color w:val="auto"/>
          <w:sz w:val="24"/>
          <w:szCs w:val="24"/>
        </w:rPr>
        <w:t>A</w:t>
      </w:r>
      <w:r w:rsidR="00082B32">
        <w:rPr>
          <w:rFonts w:ascii="Arial" w:eastAsia="Arial" w:hAnsi="Arial" w:cs="Arial"/>
          <w:color w:val="auto"/>
          <w:sz w:val="24"/>
          <w:szCs w:val="24"/>
        </w:rPr>
        <w:t>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8F66DA" w:rsidRPr="008F66DA">
        <w:rPr>
          <w:rFonts w:ascii="Arial" w:eastAsia="Arial" w:hAnsi="Arial" w:cs="Arial"/>
          <w:color w:val="auto"/>
          <w:sz w:val="24"/>
          <w:szCs w:val="24"/>
        </w:rPr>
        <w:t>Upper Northern Tabok, B</w:t>
      </w:r>
      <w:r w:rsidR="004E3A0E">
        <w:rPr>
          <w:rFonts w:ascii="Arial" w:eastAsia="Arial" w:hAnsi="Arial" w:cs="Arial"/>
          <w:color w:val="auto"/>
          <w:sz w:val="24"/>
          <w:szCs w:val="24"/>
        </w:rPr>
        <w:t xml:space="preserve">rgy. </w:t>
      </w:r>
      <w:r w:rsidR="008F66DA" w:rsidRPr="008F66DA">
        <w:rPr>
          <w:rFonts w:ascii="Arial" w:eastAsia="Arial" w:hAnsi="Arial" w:cs="Arial"/>
          <w:color w:val="auto"/>
          <w:sz w:val="24"/>
          <w:szCs w:val="24"/>
        </w:rPr>
        <w:t>Tabok, Mandaue City, Cebu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. The incident was declared fire out at </w:t>
      </w:r>
      <w:r w:rsidR="008F66DA">
        <w:rPr>
          <w:rFonts w:ascii="Arial" w:eastAsia="Arial" w:hAnsi="Arial" w:cs="Arial"/>
          <w:color w:val="auto"/>
          <w:sz w:val="24"/>
          <w:szCs w:val="24"/>
        </w:rPr>
        <w:t>10</w:t>
      </w:r>
      <w:r w:rsidR="00082B32">
        <w:rPr>
          <w:rFonts w:ascii="Arial" w:eastAsia="Arial" w:hAnsi="Arial" w:cs="Arial"/>
          <w:color w:val="auto"/>
          <w:sz w:val="24"/>
          <w:szCs w:val="24"/>
        </w:rPr>
        <w:t>:</w:t>
      </w:r>
      <w:r w:rsidR="008F66DA">
        <w:rPr>
          <w:rFonts w:ascii="Arial" w:eastAsia="Arial" w:hAnsi="Arial" w:cs="Arial"/>
          <w:color w:val="auto"/>
          <w:sz w:val="24"/>
          <w:szCs w:val="24"/>
        </w:rPr>
        <w:t>40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color w:val="auto"/>
          <w:sz w:val="24"/>
          <w:szCs w:val="24"/>
        </w:rPr>
        <w:t>A</w:t>
      </w:r>
      <w:r w:rsidR="00082B32">
        <w:rPr>
          <w:rFonts w:ascii="Arial" w:eastAsia="Arial" w:hAnsi="Arial" w:cs="Arial"/>
          <w:color w:val="auto"/>
          <w:sz w:val="24"/>
          <w:szCs w:val="24"/>
        </w:rPr>
        <w:t>M.</w:t>
      </w:r>
    </w:p>
    <w:p w14:paraId="7689E7F3" w14:textId="0EBBF2C1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82B3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5EAE165D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208E7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8F66D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08E7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="008F66D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Tabok, Mandaue City, Cebu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C50ECBA" w14:textId="43BDCE78" w:rsidR="008F66DA" w:rsidRPr="008F66DA" w:rsidRDefault="00172936" w:rsidP="008F66DA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55" w:type="pct"/>
        <w:tblInd w:w="279" w:type="dxa"/>
        <w:tblLook w:val="04A0" w:firstRow="1" w:lastRow="0" w:firstColumn="1" w:lastColumn="0" w:noHBand="0" w:noVBand="1"/>
      </w:tblPr>
      <w:tblGrid>
        <w:gridCol w:w="283"/>
        <w:gridCol w:w="4585"/>
        <w:gridCol w:w="1771"/>
        <w:gridCol w:w="1363"/>
        <w:gridCol w:w="1348"/>
      </w:tblGrid>
      <w:tr w:rsidR="008F66DA" w:rsidRPr="008F66DA" w14:paraId="78E64026" w14:textId="77777777" w:rsidTr="008F66DA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032704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FCBCDE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F66DA" w:rsidRPr="008F66DA" w14:paraId="5532E0A5" w14:textId="77777777" w:rsidTr="008F66DA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FCC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EBE8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11A03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FC96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66DA" w:rsidRPr="008F66DA" w14:paraId="3B308959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BABCB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A542D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C1C7D" w14:textId="42BB59AC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DAE98" w14:textId="2A7793DA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F66DA" w:rsidRPr="008F66DA" w14:paraId="7443CA03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11FF5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E591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BC98D" w14:textId="6BE24DA9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00109" w14:textId="33AE30F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F66DA" w:rsidRPr="008F66DA" w14:paraId="24E3B11A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9CE8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5BBA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C0978" w14:textId="4880EDEB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435B5" w14:textId="4F7811CB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8F66DA" w:rsidRPr="008F66DA" w14:paraId="2D99C7B9" w14:textId="77777777" w:rsidTr="008F66DA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DEB7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16D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EB14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4837" w14:textId="0CB014BF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39AD" w14:textId="19ADA683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4D28AC3A" w14:textId="64F1D31F" w:rsidR="00CB218A" w:rsidRDefault="00CE0026" w:rsidP="00FD3A0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8F66DA">
        <w:rPr>
          <w:rFonts w:ascii="Arial" w:hAnsi="Arial" w:cs="Arial"/>
          <w:i/>
          <w:iCs/>
          <w:color w:val="222222"/>
          <w:sz w:val="16"/>
          <w:szCs w:val="16"/>
        </w:rPr>
        <w:t>O</w:t>
      </w:r>
      <w:r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0A75BC3E" w14:textId="77777777" w:rsidR="00082B32" w:rsidRPr="00F90CA2" w:rsidRDefault="00082B32" w:rsidP="00082B3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262F4265" w:rsidR="00172936" w:rsidRPr="00C2615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6156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5208E7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="005208E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208E7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208E7" w:rsidRPr="00F90CA2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208E7">
        <w:rPr>
          <w:rFonts w:ascii="Arial" w:eastAsia="Arial" w:hAnsi="Arial" w:cs="Arial"/>
          <w:b/>
          <w:color w:val="0070C0"/>
          <w:sz w:val="24"/>
          <w:szCs w:val="24"/>
        </w:rPr>
        <w:t>333</w:t>
      </w:r>
      <w:r w:rsidR="005208E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5208E7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75C0A" w:rsidRPr="00C26156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C26156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C26156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8F66DA">
        <w:rPr>
          <w:rFonts w:ascii="Arial" w:eastAsia="Arial" w:hAnsi="Arial" w:cs="Arial"/>
          <w:color w:val="auto"/>
          <w:sz w:val="24"/>
          <w:szCs w:val="24"/>
        </w:rPr>
        <w:t>at the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08E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</w:t>
      </w:r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>Gymnasium</w:t>
      </w:r>
      <w:r w:rsidR="00B75C0A" w:rsidRPr="00C2615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78"/>
        <w:gridCol w:w="1032"/>
        <w:gridCol w:w="1032"/>
        <w:gridCol w:w="1032"/>
        <w:gridCol w:w="1032"/>
        <w:gridCol w:w="1032"/>
        <w:gridCol w:w="1032"/>
      </w:tblGrid>
      <w:tr w:rsidR="008F66DA" w:rsidRPr="008F66DA" w14:paraId="575DA618" w14:textId="77777777" w:rsidTr="008F66DA">
        <w:trPr>
          <w:trHeight w:val="20"/>
        </w:trPr>
        <w:tc>
          <w:tcPr>
            <w:tcW w:w="1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199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EC4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2B6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F66DA" w:rsidRPr="008F66DA" w14:paraId="38EA9FD5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CFD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653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B1D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F66DA" w:rsidRPr="008F66DA" w14:paraId="1079E806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8B9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F83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75E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BDD1" w14:textId="3C8E41F3" w:rsidR="008F66DA" w:rsidRPr="008F66DA" w:rsidRDefault="005208E7" w:rsidP="005208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="008F66DA"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46367D40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F3A4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D9CA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078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149F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E94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60F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06E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208E7" w:rsidRPr="008F66DA" w14:paraId="5023EF49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279F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D3BB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8606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6CE4" w14:textId="4DB06D6E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696E" w14:textId="496BFD10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6B83" w14:textId="0E0F8196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7687" w14:textId="69727A30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208E7" w:rsidRPr="008F66DA" w14:paraId="66BC1E42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9FFC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3F91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8049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E257E" w14:textId="639532F4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3CB9" w14:textId="565CF7AD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58E6" w14:textId="69924EF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6BA4" w14:textId="460298C2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208E7" w:rsidRPr="008F66DA" w14:paraId="519B2841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C635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BF3D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54CA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83C1" w14:textId="760B0249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49B3" w14:textId="72C67C72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0F8C" w14:textId="7E188779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5E8E" w14:textId="7D1E6346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208E7" w:rsidRPr="008F66DA" w14:paraId="5C9BA720" w14:textId="77777777" w:rsidTr="008F66D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2812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07F1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7460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802F" w14:textId="7777777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A67D7" w14:textId="6EA8F493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E51A3" w14:textId="5054FD70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AC57" w14:textId="47088837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3C14" w14:textId="1F8DD39E" w:rsidR="005208E7" w:rsidRPr="008F66DA" w:rsidRDefault="005208E7" w:rsidP="005208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E746314" w14:textId="77777777" w:rsidR="008F66DA" w:rsidRDefault="008F66DA" w:rsidP="008F66DA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5C6D5A3C" w14:textId="77777777" w:rsidR="00B75C0A" w:rsidRPr="00F90CA2" w:rsidRDefault="00B75C0A" w:rsidP="00B75C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6C1793D3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5208E7">
        <w:rPr>
          <w:rFonts w:ascii="Arial" w:eastAsia="Times New Roman" w:hAnsi="Arial" w:cs="Arial"/>
          <w:b/>
          <w:bCs/>
          <w:color w:val="0070C0"/>
          <w:sz w:val="24"/>
          <w:szCs w:val="24"/>
        </w:rPr>
        <w:t>32</w:t>
      </w:r>
      <w:r w:rsidR="008F66D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</w:t>
      </w:r>
      <w:r w:rsidR="008F66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</w:t>
      </w:r>
      <w:r w:rsidR="005208E7">
        <w:rPr>
          <w:rFonts w:ascii="Arial" w:eastAsia="Times New Roman" w:hAnsi="Arial" w:cs="Arial"/>
          <w:color w:val="0070C0"/>
          <w:sz w:val="24"/>
          <w:szCs w:val="24"/>
        </w:rPr>
        <w:t xml:space="preserve">s; </w:t>
      </w:r>
      <w:r w:rsidR="005208E7" w:rsidRPr="005208E7">
        <w:rPr>
          <w:rFonts w:ascii="Arial" w:eastAsia="Times New Roman" w:hAnsi="Arial" w:cs="Arial"/>
          <w:color w:val="auto"/>
          <w:sz w:val="24"/>
          <w:szCs w:val="24"/>
        </w:rPr>
        <w:t xml:space="preserve">of which </w:t>
      </w:r>
      <w:r w:rsidR="005208E7" w:rsidRPr="005208E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30 </w:t>
      </w:r>
      <w:r w:rsidR="005208E7" w:rsidRPr="005208E7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5208E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208E7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</w:t>
      </w:r>
      <w:r w:rsidR="005208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</w:t>
      </w:r>
      <w:r w:rsidR="005208E7" w:rsidRPr="005208E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5208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 </w:t>
      </w:r>
      <w:r w:rsidR="005208E7" w:rsidRPr="005208E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</w:t>
      </w:r>
      <w:r w:rsidR="005208E7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ED460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B75C0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898"/>
        <w:gridCol w:w="1306"/>
        <w:gridCol w:w="1306"/>
        <w:gridCol w:w="1414"/>
      </w:tblGrid>
      <w:tr w:rsidR="008F66DA" w:rsidRPr="008F66DA" w14:paraId="51E03AB5" w14:textId="77777777" w:rsidTr="008F66DA">
        <w:trPr>
          <w:trHeight w:val="20"/>
        </w:trPr>
        <w:tc>
          <w:tcPr>
            <w:tcW w:w="2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BBA95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C66C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F66DA" w:rsidRPr="008F66DA" w14:paraId="57FD96F3" w14:textId="77777777" w:rsidTr="008F66DA">
        <w:trPr>
          <w:trHeight w:val="20"/>
        </w:trPr>
        <w:tc>
          <w:tcPr>
            <w:tcW w:w="2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A6F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E7B5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0FA7F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AC120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F66DA" w:rsidRPr="008F66DA" w14:paraId="36312C6D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410E0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472B2" w14:textId="4EC3F406" w:rsidR="008F66DA" w:rsidRPr="008F66DA" w:rsidRDefault="008F66DA" w:rsidP="00520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0E111" w14:textId="0AD9A19E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7312C" w14:textId="450F8B1F" w:rsidR="008F66DA" w:rsidRPr="008F66DA" w:rsidRDefault="005208E7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8F66DA"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4E9191E2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8220E0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3EB97" w14:textId="719A3990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2053A" w14:textId="1907E14F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F6833" w14:textId="7DD03EEA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19A460CE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7068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30F70" w14:textId="4384C9CA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4045E" w14:textId="7CF7DE34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6B55" w14:textId="2D4B682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520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6DA" w:rsidRPr="008F66DA" w14:paraId="61C8A5CD" w14:textId="77777777" w:rsidTr="008F66D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8B69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2D6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EF0E" w14:textId="3BC1DF1E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EB17" w14:textId="354240A0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A6A0" w14:textId="3E31394E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5208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9CD9B60" w14:textId="5FACC4F3" w:rsidR="008F66DA" w:rsidRDefault="008F66DA" w:rsidP="008F66DA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5208E7">
        <w:rPr>
          <w:rFonts w:ascii="Arial" w:hAnsi="Arial" w:cs="Arial"/>
          <w:i/>
          <w:iCs/>
          <w:color w:val="222222"/>
          <w:sz w:val="16"/>
          <w:szCs w:val="16"/>
        </w:rPr>
        <w:t>Decrease in the number of totally damaged houses Is based on the o</w:t>
      </w:r>
      <w:r>
        <w:rPr>
          <w:rFonts w:ascii="Arial" w:hAnsi="Arial" w:cs="Arial"/>
          <w:i/>
          <w:iCs/>
          <w:color w:val="222222"/>
          <w:sz w:val="16"/>
          <w:szCs w:val="16"/>
        </w:rPr>
        <w:t>ngoing assessment and validation being conducted.</w:t>
      </w:r>
    </w:p>
    <w:p w14:paraId="6B56E89C" w14:textId="41FC03F5" w:rsidR="00B75C0A" w:rsidRPr="00ED4609" w:rsidRDefault="00B75C0A" w:rsidP="00ED46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12C919" w14:textId="22ADDFB1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4FB45F37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672AFFA7" w:rsidR="00B713AB" w:rsidRPr="00780980" w:rsidRDefault="005208E7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5B8F970F" w:rsidR="00E90AC4" w:rsidRPr="00E90AC4" w:rsidRDefault="00E90AC4" w:rsidP="00E90AC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DSWD-FO VI</w:t>
            </w:r>
            <w:r w:rsidR="00A14E43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2AEDDC6E" w:rsidR="00D11E6C" w:rsidRPr="00463176" w:rsidRDefault="00463176" w:rsidP="0046317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</w:t>
            </w:r>
            <w:r w:rsidR="008F66DA"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2021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D2B1" w14:textId="6A53FA2A" w:rsidR="005208E7" w:rsidRDefault="005208E7" w:rsidP="0046317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LGU of </w:t>
            </w:r>
            <w:r w:rsidRPr="005208E7">
              <w:rPr>
                <w:rFonts w:ascii="Arial" w:eastAsia="Arial" w:hAnsi="Arial" w:cs="Arial"/>
                <w:color w:val="0070C0"/>
                <w:sz w:val="20"/>
                <w:szCs w:val="24"/>
              </w:rPr>
              <w:t>Mandaue City provide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 disaster kits worth ₱</w:t>
            </w:r>
            <w:r w:rsidRPr="005208E7">
              <w:rPr>
                <w:rFonts w:ascii="Arial" w:eastAsia="Arial" w:hAnsi="Arial" w:cs="Arial"/>
                <w:color w:val="0070C0"/>
                <w:sz w:val="20"/>
                <w:szCs w:val="24"/>
              </w:rPr>
              <w:t>2,500 to the affected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208E7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 which consists of hygiene kits, undergarments, kitchen utensils, 5 kilos of rice,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canned goods. The provision of food meals 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all the 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continue through the efforts of the city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government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coordination with the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arangay 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LGU.</w:t>
            </w:r>
          </w:p>
          <w:p w14:paraId="32B11AC4" w14:textId="18D32C85" w:rsidR="00463176" w:rsidRPr="00463176" w:rsidRDefault="00463176" w:rsidP="0046317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Mandaue City government will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provide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cas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h assistance amounting to ₱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10,000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each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house owners; ₱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5,0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00 for renters while boarders will receive ₱</w:t>
            </w:r>
            <w:r w:rsidRP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>2,500.</w:t>
            </w:r>
          </w:p>
          <w:p w14:paraId="3930F2CB" w14:textId="48747BD2" w:rsidR="00C26156" w:rsidRPr="00463176" w:rsidRDefault="00C26156" w:rsidP="0046317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the </w:t>
            </w:r>
            <w:r w:rsidR="008F66DA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Mandaue City Social Welfare Services Office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4631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possible augmentation assistance needed by the affected families. 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28D2B16A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2EA302AD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 VI</w:t>
      </w:r>
      <w:r w:rsidR="00A14E43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51C0AEC6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5777ED3C" w:rsidR="00F90CA2" w:rsidRDefault="005208E7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24C4F1F0" w:rsidR="00F90CA2" w:rsidRPr="000E28BD" w:rsidRDefault="00311316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RODEL V. CABADDU</w:t>
      </w:r>
    </w:p>
    <w:bookmarkEnd w:id="1"/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9754" w14:textId="77777777" w:rsidR="000726EE" w:rsidRDefault="000726EE">
      <w:pPr>
        <w:spacing w:after="0" w:line="240" w:lineRule="auto"/>
      </w:pPr>
      <w:r>
        <w:separator/>
      </w:r>
    </w:p>
  </w:endnote>
  <w:endnote w:type="continuationSeparator" w:id="0">
    <w:p w14:paraId="4689CA8C" w14:textId="77777777" w:rsidR="000726EE" w:rsidRDefault="0007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25F31555" w:rsidR="00192CDE" w:rsidRPr="00D12D94" w:rsidRDefault="00192CDE" w:rsidP="008F66D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31131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31131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4E3A0E">
      <w:rPr>
        <w:rFonts w:ascii="Arial" w:eastAsia="Arial" w:hAnsi="Arial" w:cs="Arial"/>
        <w:sz w:val="14"/>
        <w:szCs w:val="16"/>
      </w:rPr>
      <w:t>DSWD DROMIC Report #2</w:t>
    </w:r>
    <w:r w:rsidR="008F66DA" w:rsidRPr="008F66DA">
      <w:rPr>
        <w:rFonts w:ascii="Arial" w:eastAsia="Arial" w:hAnsi="Arial" w:cs="Arial"/>
        <w:sz w:val="14"/>
        <w:szCs w:val="16"/>
      </w:rPr>
      <w:t xml:space="preserve"> on the Fire Incident</w:t>
    </w:r>
    <w:r w:rsidR="008F66DA">
      <w:rPr>
        <w:rFonts w:ascii="Arial" w:eastAsia="Arial" w:hAnsi="Arial" w:cs="Arial"/>
        <w:sz w:val="14"/>
        <w:szCs w:val="16"/>
      </w:rPr>
      <w:t xml:space="preserve"> </w:t>
    </w:r>
    <w:r w:rsidR="008F66DA" w:rsidRPr="008F66DA">
      <w:rPr>
        <w:rFonts w:ascii="Arial" w:eastAsia="Arial" w:hAnsi="Arial" w:cs="Arial"/>
        <w:sz w:val="14"/>
        <w:szCs w:val="16"/>
      </w:rPr>
      <w:t>in Brgy. Tabok, Mandaue City</w:t>
    </w:r>
    <w:r w:rsidR="008F66DA">
      <w:rPr>
        <w:rFonts w:ascii="Arial" w:eastAsia="Arial" w:hAnsi="Arial" w:cs="Arial"/>
        <w:sz w:val="14"/>
        <w:szCs w:val="16"/>
      </w:rPr>
      <w:t xml:space="preserve">, Cebu </w:t>
    </w:r>
    <w:r w:rsidR="004E3A0E">
      <w:rPr>
        <w:rFonts w:ascii="Arial" w:eastAsia="Arial" w:hAnsi="Arial" w:cs="Arial"/>
        <w:sz w:val="14"/>
        <w:szCs w:val="16"/>
      </w:rPr>
      <w:t>as of 23</w:t>
    </w:r>
    <w:r w:rsidR="008F66DA" w:rsidRPr="008F66DA">
      <w:rPr>
        <w:rFonts w:ascii="Arial" w:eastAsia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806A" w14:textId="77777777" w:rsidR="000726EE" w:rsidRDefault="000726EE">
      <w:pPr>
        <w:spacing w:after="0" w:line="240" w:lineRule="auto"/>
      </w:pPr>
      <w:r>
        <w:separator/>
      </w:r>
    </w:p>
  </w:footnote>
  <w:footnote w:type="continuationSeparator" w:id="0">
    <w:p w14:paraId="5AB2C335" w14:textId="77777777" w:rsidR="000726EE" w:rsidRDefault="0007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5FB9"/>
    <w:multiLevelType w:val="hybridMultilevel"/>
    <w:tmpl w:val="D5581D88"/>
    <w:lvl w:ilvl="0" w:tplc="8A4E67B4">
      <w:start w:val="23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59722114"/>
    <w:multiLevelType w:val="hybridMultilevel"/>
    <w:tmpl w:val="8194A21A"/>
    <w:lvl w:ilvl="0" w:tplc="0C429C1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5"/>
  </w:num>
  <w:num w:numId="2">
    <w:abstractNumId w:val="32"/>
  </w:num>
  <w:num w:numId="3">
    <w:abstractNumId w:val="11"/>
  </w:num>
  <w:num w:numId="4">
    <w:abstractNumId w:val="10"/>
  </w:num>
  <w:num w:numId="5">
    <w:abstractNumId w:val="24"/>
  </w:num>
  <w:num w:numId="6">
    <w:abstractNumId w:val="41"/>
  </w:num>
  <w:num w:numId="7">
    <w:abstractNumId w:val="42"/>
  </w:num>
  <w:num w:numId="8">
    <w:abstractNumId w:val="25"/>
  </w:num>
  <w:num w:numId="9">
    <w:abstractNumId w:val="38"/>
  </w:num>
  <w:num w:numId="10">
    <w:abstractNumId w:val="18"/>
  </w:num>
  <w:num w:numId="11">
    <w:abstractNumId w:val="40"/>
  </w:num>
  <w:num w:numId="12">
    <w:abstractNumId w:val="22"/>
  </w:num>
  <w:num w:numId="13">
    <w:abstractNumId w:val="8"/>
  </w:num>
  <w:num w:numId="14">
    <w:abstractNumId w:val="0"/>
  </w:num>
  <w:num w:numId="15">
    <w:abstractNumId w:val="33"/>
  </w:num>
  <w:num w:numId="16">
    <w:abstractNumId w:val="4"/>
  </w:num>
  <w:num w:numId="17">
    <w:abstractNumId w:val="12"/>
  </w:num>
  <w:num w:numId="18">
    <w:abstractNumId w:val="31"/>
  </w:num>
  <w:num w:numId="19">
    <w:abstractNumId w:val="16"/>
  </w:num>
  <w:num w:numId="20">
    <w:abstractNumId w:val="30"/>
  </w:num>
  <w:num w:numId="21">
    <w:abstractNumId w:val="15"/>
  </w:num>
  <w:num w:numId="22">
    <w:abstractNumId w:val="19"/>
  </w:num>
  <w:num w:numId="23">
    <w:abstractNumId w:val="43"/>
  </w:num>
  <w:num w:numId="24">
    <w:abstractNumId w:val="21"/>
  </w:num>
  <w:num w:numId="25">
    <w:abstractNumId w:val="36"/>
  </w:num>
  <w:num w:numId="26">
    <w:abstractNumId w:val="1"/>
  </w:num>
  <w:num w:numId="27">
    <w:abstractNumId w:val="44"/>
  </w:num>
  <w:num w:numId="28">
    <w:abstractNumId w:val="5"/>
  </w:num>
  <w:num w:numId="29">
    <w:abstractNumId w:val="7"/>
  </w:num>
  <w:num w:numId="30">
    <w:abstractNumId w:val="13"/>
  </w:num>
  <w:num w:numId="31">
    <w:abstractNumId w:val="26"/>
  </w:num>
  <w:num w:numId="32">
    <w:abstractNumId w:val="23"/>
  </w:num>
  <w:num w:numId="33">
    <w:abstractNumId w:val="35"/>
  </w:num>
  <w:num w:numId="34">
    <w:abstractNumId w:val="27"/>
  </w:num>
  <w:num w:numId="35">
    <w:abstractNumId w:val="17"/>
  </w:num>
  <w:num w:numId="36">
    <w:abstractNumId w:val="20"/>
  </w:num>
  <w:num w:numId="37">
    <w:abstractNumId w:val="14"/>
  </w:num>
  <w:num w:numId="38">
    <w:abstractNumId w:val="9"/>
  </w:num>
  <w:num w:numId="39">
    <w:abstractNumId w:val="6"/>
  </w:num>
  <w:num w:numId="40">
    <w:abstractNumId w:val="28"/>
  </w:num>
  <w:num w:numId="41">
    <w:abstractNumId w:val="37"/>
  </w:num>
  <w:num w:numId="42">
    <w:abstractNumId w:val="34"/>
  </w:num>
  <w:num w:numId="43">
    <w:abstractNumId w:val="29"/>
  </w:num>
  <w:num w:numId="44">
    <w:abstractNumId w:val="2"/>
  </w:num>
  <w:num w:numId="45">
    <w:abstractNumId w:val="27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26EE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1316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3F6598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5FE9"/>
    <w:rsid w:val="00446AAF"/>
    <w:rsid w:val="00447043"/>
    <w:rsid w:val="0045417C"/>
    <w:rsid w:val="00456B0E"/>
    <w:rsid w:val="00460779"/>
    <w:rsid w:val="00463176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3A0E"/>
    <w:rsid w:val="004E50E2"/>
    <w:rsid w:val="004F26DD"/>
    <w:rsid w:val="004F27B7"/>
    <w:rsid w:val="004F68F5"/>
    <w:rsid w:val="005073A3"/>
    <w:rsid w:val="005101BD"/>
    <w:rsid w:val="0051518E"/>
    <w:rsid w:val="005208E7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471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8F66DA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6156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976BA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1E47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0FF3"/>
    <w:rsid w:val="00F733D9"/>
    <w:rsid w:val="00F90CA2"/>
    <w:rsid w:val="00F91779"/>
    <w:rsid w:val="00F966FB"/>
    <w:rsid w:val="00FA71E5"/>
    <w:rsid w:val="00FB218F"/>
    <w:rsid w:val="00FB6498"/>
    <w:rsid w:val="00FC192D"/>
    <w:rsid w:val="00FD3A02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831D-068A-405C-964F-015F17E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2021-04-23T07:53:00Z</dcterms:created>
  <dcterms:modified xsi:type="dcterms:W3CDTF">2021-04-23T07:53:00Z</dcterms:modified>
</cp:coreProperties>
</file>