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ABD69" w14:textId="77777777" w:rsidR="0055571E" w:rsidRDefault="00400D5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DF005A">
        <w:rPr>
          <w:rFonts w:ascii="Arial" w:eastAsia="Arial" w:hAnsi="Arial" w:cs="Arial"/>
          <w:b/>
          <w:sz w:val="32"/>
          <w:szCs w:val="32"/>
        </w:rPr>
        <w:t>2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  <w:r w:rsidR="0055571E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34C8D6F" w14:textId="76DA6BE9" w:rsidR="00000CC0" w:rsidRPr="00E52A51" w:rsidRDefault="008C43F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ooding 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>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>in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 Davao</w:t>
      </w:r>
      <w:r w:rsidR="00893AD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06EECC5" w14:textId="070ED4BB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DF005A">
        <w:rPr>
          <w:rFonts w:ascii="Arial" w:eastAsia="Arial" w:hAnsi="Arial" w:cs="Arial"/>
          <w:sz w:val="24"/>
          <w:szCs w:val="24"/>
        </w:rPr>
        <w:t xml:space="preserve">01 May </w:t>
      </w:r>
      <w:r w:rsidR="00E70DF8" w:rsidRPr="00E52A51">
        <w:rPr>
          <w:rFonts w:ascii="Arial" w:eastAsia="Arial" w:hAnsi="Arial" w:cs="Arial"/>
          <w:sz w:val="24"/>
          <w:szCs w:val="24"/>
        </w:rPr>
        <w:t>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B18E7B8" w14:textId="21F59477" w:rsidR="005071D7" w:rsidRDefault="005071D7" w:rsidP="000218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675214" w14:textId="1E9A1D12" w:rsidR="005071D7" w:rsidRPr="00E52A51" w:rsidRDefault="005071D7" w:rsidP="005071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Pr="005071D7">
        <w:rPr>
          <w:rFonts w:ascii="Arial" w:eastAsia="Arial" w:hAnsi="Arial" w:cs="Arial"/>
          <w:sz w:val="24"/>
          <w:szCs w:val="24"/>
        </w:rPr>
        <w:t>26 April 2021</w:t>
      </w:r>
      <w:r w:rsidR="00727DF3">
        <w:rPr>
          <w:rFonts w:ascii="Arial" w:eastAsia="Arial" w:hAnsi="Arial" w:cs="Arial"/>
          <w:sz w:val="24"/>
          <w:szCs w:val="24"/>
        </w:rPr>
        <w:t xml:space="preserve"> at 8 PM</w:t>
      </w:r>
      <w:r w:rsidRPr="005071D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flooding </w:t>
      </w:r>
      <w:r w:rsidRPr="005071D7">
        <w:rPr>
          <w:rFonts w:ascii="Arial" w:eastAsia="Arial" w:hAnsi="Arial" w:cs="Arial"/>
          <w:sz w:val="24"/>
          <w:szCs w:val="24"/>
        </w:rPr>
        <w:t xml:space="preserve">incident occurred in </w:t>
      </w:r>
      <w:proofErr w:type="spellStart"/>
      <w:r w:rsidRPr="005071D7">
        <w:rPr>
          <w:rFonts w:ascii="Arial" w:eastAsia="Arial" w:hAnsi="Arial" w:cs="Arial"/>
          <w:sz w:val="24"/>
          <w:szCs w:val="24"/>
        </w:rPr>
        <w:t>Bunawan</w:t>
      </w:r>
      <w:proofErr w:type="spellEnd"/>
      <w:r w:rsidRPr="005071D7">
        <w:rPr>
          <w:rFonts w:ascii="Arial" w:eastAsia="Arial" w:hAnsi="Arial" w:cs="Arial"/>
          <w:sz w:val="24"/>
          <w:szCs w:val="24"/>
        </w:rPr>
        <w:t xml:space="preserve"> District</w:t>
      </w:r>
      <w:r w:rsidR="00727DF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27DF3">
        <w:rPr>
          <w:rFonts w:ascii="Arial" w:eastAsia="Arial" w:hAnsi="Arial" w:cs="Arial"/>
          <w:sz w:val="24"/>
          <w:szCs w:val="24"/>
        </w:rPr>
        <w:t>Paquibato</w:t>
      </w:r>
      <w:proofErr w:type="spellEnd"/>
      <w:r w:rsidR="00727DF3">
        <w:rPr>
          <w:rFonts w:ascii="Arial" w:eastAsia="Arial" w:hAnsi="Arial" w:cs="Arial"/>
          <w:sz w:val="24"/>
          <w:szCs w:val="24"/>
        </w:rPr>
        <w:t xml:space="preserve"> District</w:t>
      </w:r>
      <w:r w:rsidRPr="005071D7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005071D7">
        <w:rPr>
          <w:rFonts w:ascii="Arial" w:eastAsia="Arial" w:hAnsi="Arial" w:cs="Arial"/>
          <w:sz w:val="24"/>
          <w:szCs w:val="24"/>
        </w:rPr>
        <w:t>Buhangin</w:t>
      </w:r>
      <w:proofErr w:type="spellEnd"/>
      <w:r w:rsidRPr="005071D7">
        <w:rPr>
          <w:rFonts w:ascii="Arial" w:eastAsia="Arial" w:hAnsi="Arial" w:cs="Arial"/>
          <w:sz w:val="24"/>
          <w:szCs w:val="24"/>
        </w:rPr>
        <w:t xml:space="preserve">-B </w:t>
      </w:r>
      <w:r w:rsidR="00727DF3">
        <w:rPr>
          <w:rFonts w:ascii="Arial" w:eastAsia="Arial" w:hAnsi="Arial" w:cs="Arial"/>
          <w:sz w:val="24"/>
          <w:szCs w:val="24"/>
        </w:rPr>
        <w:t>D</w:t>
      </w:r>
      <w:r w:rsidRPr="005071D7">
        <w:rPr>
          <w:rFonts w:ascii="Arial" w:eastAsia="Arial" w:hAnsi="Arial" w:cs="Arial"/>
          <w:sz w:val="24"/>
          <w:szCs w:val="24"/>
        </w:rPr>
        <w:t>istrict</w:t>
      </w:r>
      <w:r>
        <w:rPr>
          <w:rFonts w:ascii="Arial" w:eastAsia="Arial" w:hAnsi="Arial" w:cs="Arial"/>
          <w:sz w:val="24"/>
          <w:szCs w:val="24"/>
        </w:rPr>
        <w:t xml:space="preserve"> in Davao City d</w:t>
      </w:r>
      <w:r w:rsidRPr="005071D7">
        <w:rPr>
          <w:rFonts w:ascii="Arial" w:eastAsia="Arial" w:hAnsi="Arial" w:cs="Arial"/>
          <w:sz w:val="24"/>
          <w:szCs w:val="24"/>
        </w:rPr>
        <w:t>ue to heavy rains</w:t>
      </w:r>
      <w:r>
        <w:rPr>
          <w:rFonts w:ascii="Arial" w:eastAsia="Arial" w:hAnsi="Arial" w:cs="Arial"/>
          <w:sz w:val="24"/>
          <w:szCs w:val="24"/>
        </w:rPr>
        <w:t xml:space="preserve"> caused by the Localized Thunderstorm</w:t>
      </w:r>
      <w:r w:rsidR="00727DF3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6D31B046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2997BBE" w:rsidR="000146D5" w:rsidRPr="00C263C3" w:rsidRDefault="00727DF3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Pr="00727D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3,944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9F4D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>or</w:t>
      </w:r>
      <w:r w:rsidRPr="00727DF3">
        <w:rPr>
          <w:rFonts w:ascii="Arial" w:eastAsia="Arial" w:hAnsi="Arial" w:cs="Arial"/>
          <w:b/>
          <w:color w:val="0070C0"/>
          <w:sz w:val="24"/>
          <w:szCs w:val="24"/>
        </w:rPr>
        <w:t xml:space="preserve"> 17,293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="000146D5"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>by the f</w:t>
      </w:r>
      <w:r w:rsidR="00021848">
        <w:rPr>
          <w:rFonts w:ascii="Arial" w:eastAsia="Arial" w:hAnsi="Arial" w:cs="Arial"/>
          <w:sz w:val="24"/>
          <w:szCs w:val="24"/>
        </w:rPr>
        <w:t>looding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Cs/>
          <w:sz w:val="24"/>
          <w:szCs w:val="24"/>
        </w:rPr>
        <w:t>in</w:t>
      </w:r>
      <w:r w:rsidR="00021848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0146D5" w:rsidRPr="00C263C3">
        <w:rPr>
          <w:rFonts w:ascii="Arial" w:eastAsia="Arial" w:hAnsi="Arial" w:cs="Arial"/>
          <w:sz w:val="24"/>
          <w:szCs w:val="24"/>
        </w:rPr>
        <w:t>see Table 1).</w:t>
      </w:r>
      <w:r w:rsidR="00F37D7A">
        <w:rPr>
          <w:rFonts w:ascii="Arial" w:eastAsia="Arial" w:hAnsi="Arial" w:cs="Arial"/>
          <w:sz w:val="24"/>
          <w:szCs w:val="24"/>
        </w:rPr>
        <w:t>)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8"/>
        <w:gridCol w:w="1695"/>
        <w:gridCol w:w="1277"/>
        <w:gridCol w:w="1178"/>
      </w:tblGrid>
      <w:tr w:rsidR="005071D7" w:rsidRPr="00727DF3" w14:paraId="1FFAF2E3" w14:textId="77777777" w:rsidTr="005071D7">
        <w:trPr>
          <w:trHeight w:val="20"/>
        </w:trPr>
        <w:tc>
          <w:tcPr>
            <w:tcW w:w="2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E41E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471C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71D7" w:rsidRPr="00727DF3" w14:paraId="4E8CA146" w14:textId="77777777" w:rsidTr="005071D7">
        <w:trPr>
          <w:trHeight w:val="2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125B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1B22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AB4F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EC3B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7DF3" w:rsidRPr="00727DF3" w14:paraId="08EC1D57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F0E4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29B9" w14:textId="7E6F517C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A8AD" w14:textId="0582C9CC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3,944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C219" w14:textId="4175B3E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17,293 </w:t>
            </w:r>
          </w:p>
        </w:tc>
      </w:tr>
      <w:tr w:rsidR="00727DF3" w:rsidRPr="00727DF3" w14:paraId="15BD1D7D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476E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2F9" w14:textId="6B2D79B0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8664" w14:textId="50A63807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3,944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A5A8" w14:textId="53C988E2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17,293 </w:t>
            </w:r>
          </w:p>
        </w:tc>
      </w:tr>
      <w:tr w:rsidR="00727DF3" w:rsidRPr="00727DF3" w14:paraId="5B121CBA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F6D7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52F2" w14:textId="737EA32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FAA3" w14:textId="12A3F8B2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3,944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0845" w14:textId="07EC007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17,293 </w:t>
            </w:r>
          </w:p>
        </w:tc>
      </w:tr>
      <w:tr w:rsidR="00727DF3" w:rsidRPr="00727DF3" w14:paraId="1A7E3EC8" w14:textId="77777777" w:rsidTr="00727DF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E75B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7B74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F279" w14:textId="206C3EE3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E3EC" w14:textId="0D29E04D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3,944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B804" w14:textId="6CE78EB0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17,293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2311CE3A" w14:textId="77777777" w:rsidR="00021848" w:rsidRPr="00E52A51" w:rsidRDefault="00021848" w:rsidP="0002184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E61A32" w14:textId="792AA885" w:rsidR="00031EBA" w:rsidRPr="00893AD1" w:rsidRDefault="00031EBA" w:rsidP="00893AD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893A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93AD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17675221" w:rsidR="00031EBA" w:rsidRPr="009F4D1C" w:rsidRDefault="00727DF3" w:rsidP="009F4D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total of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189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629 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took</w:t>
      </w:r>
      <w:r w:rsidR="00CA18AF">
        <w:rPr>
          <w:rFonts w:ascii="Arial" w:eastAsia="Arial" w:hAnsi="Arial" w:cs="Arial"/>
          <w:bCs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temporary shelter </w:t>
      </w:r>
      <w:r w:rsidR="00021848">
        <w:rPr>
          <w:rFonts w:ascii="Arial" w:eastAsia="Arial" w:hAnsi="Arial" w:cs="Arial"/>
          <w:bCs/>
          <w:sz w:val="24"/>
          <w:szCs w:val="24"/>
        </w:rPr>
        <w:t>in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CA18AF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CA18AF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55571E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centers </w:t>
      </w:r>
      <w:r w:rsidR="007F2059" w:rsidRPr="007F2059">
        <w:rPr>
          <w:rFonts w:ascii="Arial" w:eastAsia="Arial" w:hAnsi="Arial" w:cs="Arial"/>
          <w:bCs/>
          <w:sz w:val="24"/>
          <w:szCs w:val="24"/>
        </w:rPr>
        <w:t>(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>see Table 2).</w:t>
      </w:r>
      <w:r w:rsidR="00021848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893AD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693"/>
        <w:gridCol w:w="912"/>
        <w:gridCol w:w="916"/>
        <w:gridCol w:w="914"/>
        <w:gridCol w:w="918"/>
        <w:gridCol w:w="914"/>
        <w:gridCol w:w="914"/>
      </w:tblGrid>
      <w:tr w:rsidR="00CA18AF" w:rsidRPr="00727DF3" w14:paraId="102AAD04" w14:textId="77777777" w:rsidTr="00727DF3">
        <w:trPr>
          <w:trHeight w:val="20"/>
        </w:trPr>
        <w:tc>
          <w:tcPr>
            <w:tcW w:w="2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7AEE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CD9C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A8A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A18AF" w:rsidRPr="00727DF3" w14:paraId="094C73DA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3B9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A7C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952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A18AF" w:rsidRPr="00727DF3" w14:paraId="267CDAAE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29A4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624D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0921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F2B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A18AF" w:rsidRPr="00727DF3" w14:paraId="37475514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FF48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3E3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2570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28E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2ED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6FB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5F0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7DF3" w:rsidRPr="00727DF3" w14:paraId="6FCBF56B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515D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5FAF" w14:textId="5DA26D2D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A300" w14:textId="5DBAE46C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11C75" w14:textId="0B5B84F8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65BC" w14:textId="1E7D557E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9DBD" w14:textId="645350A6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173A" w14:textId="5C04F91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7DF3" w:rsidRPr="00727DF3" w14:paraId="78FC2104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F2B1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4FF" w14:textId="662161DE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4EDA" w14:textId="105CB22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D078" w14:textId="1B9AB5B5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6C2E" w14:textId="15F7D5C1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D95C" w14:textId="2485A7E3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5E30" w14:textId="5B5E63EF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7DF3" w:rsidRPr="00727DF3" w14:paraId="71103CE7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8C2A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0EE2" w14:textId="1DE0F03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D608" w14:textId="242BB3FF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DA41" w14:textId="3BBA5E72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D849" w14:textId="6DB3F1A0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5F48" w14:textId="76E86C56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232C" w14:textId="728654D4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7DF3" w:rsidRPr="00727DF3" w14:paraId="75C9F508" w14:textId="77777777" w:rsidTr="00727DF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55AB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3C65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95CE" w14:textId="5726152C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D2A3" w14:textId="5C891F7E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5FAE" w14:textId="01D34402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4CFC" w14:textId="3F20F1C9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30EA" w14:textId="1CC4693B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8B40" w14:textId="508BD206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F3137E" w14:textId="4113B296" w:rsidR="00031EBA" w:rsidRPr="00E52A51" w:rsidRDefault="00031EBA" w:rsidP="009F4D1C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70A170D" w14:textId="21F6816B" w:rsidR="00052911" w:rsidRDefault="00031EBA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021848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8CFA856" w14:textId="77777777" w:rsidR="007F2059" w:rsidRPr="00052911" w:rsidRDefault="007F2059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F20C14" w14:textId="77777777" w:rsidR="00727DF3" w:rsidRDefault="00727DF3" w:rsidP="00727DF3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BC61DBA" w14:textId="017FF110" w:rsidR="00727DF3" w:rsidRPr="00D770F5" w:rsidRDefault="00727DF3" w:rsidP="00727DF3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770F5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727D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38,250.00 </w:t>
      </w:r>
      <w:r w:rsidRPr="00D770F5">
        <w:rPr>
          <w:rFonts w:ascii="Arial" w:hAnsi="Arial" w:cs="Arial"/>
          <w:sz w:val="24"/>
          <w:szCs w:val="24"/>
          <w:shd w:val="clear" w:color="auto" w:fill="FFFFFF"/>
        </w:rPr>
        <w:t>worth of assistance was provided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by</w:t>
      </w:r>
      <w:r w:rsidRPr="00727DF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727D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LGU </w:t>
      </w:r>
      <w:r w:rsidRPr="00D770F5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770F5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5A6F46D4" w14:textId="77777777" w:rsidR="00727DF3" w:rsidRPr="00F4549C" w:rsidRDefault="00727DF3" w:rsidP="00727DF3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18"/>
          <w:szCs w:val="18"/>
        </w:rPr>
      </w:pPr>
    </w:p>
    <w:p w14:paraId="79FD202F" w14:textId="77777777" w:rsidR="00727DF3" w:rsidRPr="003429C4" w:rsidRDefault="00727DF3" w:rsidP="00727DF3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93"/>
        <w:gridCol w:w="835"/>
        <w:gridCol w:w="1208"/>
        <w:gridCol w:w="836"/>
        <w:gridCol w:w="921"/>
        <w:gridCol w:w="1695"/>
      </w:tblGrid>
      <w:tr w:rsidR="00727DF3" w:rsidRPr="00727DF3" w14:paraId="5B4259E3" w14:textId="77777777" w:rsidTr="00653FC6">
        <w:trPr>
          <w:trHeight w:val="43"/>
        </w:trPr>
        <w:tc>
          <w:tcPr>
            <w:tcW w:w="2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86855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77AE5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27DF3" w:rsidRPr="00727DF3" w14:paraId="212DE9B5" w14:textId="77777777" w:rsidTr="00653FC6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D439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4ED9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A0E4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1E4C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730C9" w14:textId="6F7B730E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76D6F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53FC6" w:rsidRPr="00727DF3" w14:paraId="5AF33CF3" w14:textId="77777777" w:rsidTr="00653FC6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F679" w14:textId="77777777" w:rsidR="00653FC6" w:rsidRPr="00727DF3" w:rsidRDefault="00653FC6" w:rsidP="00653F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4651" w14:textId="110533C8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5A67" w14:textId="34C715CF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38,250.00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01E78" w14:textId="18E121C4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DE7F1" w14:textId="4DB208E0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D641" w14:textId="618F0E5A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38,250.00 </w:t>
            </w:r>
          </w:p>
        </w:tc>
      </w:tr>
      <w:tr w:rsidR="00653FC6" w:rsidRPr="00727DF3" w14:paraId="543F1A11" w14:textId="77777777" w:rsidTr="00653FC6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1F1A" w14:textId="77777777" w:rsidR="00653FC6" w:rsidRPr="00727DF3" w:rsidRDefault="00653FC6" w:rsidP="00653F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06B5" w14:textId="3C25787E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148F" w14:textId="0BEA688C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38,250.00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BA4BE" w14:textId="696639FB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CAFD" w14:textId="1CBBACD4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72E11" w14:textId="0504B69C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38,250.00 </w:t>
            </w:r>
          </w:p>
        </w:tc>
      </w:tr>
      <w:tr w:rsidR="00653FC6" w:rsidRPr="00727DF3" w14:paraId="432B3CBD" w14:textId="77777777" w:rsidTr="00653FC6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DA7E" w14:textId="77777777" w:rsidR="00653FC6" w:rsidRPr="00727DF3" w:rsidRDefault="00653FC6" w:rsidP="00653F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BEDB" w14:textId="3C740567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C268" w14:textId="2C15BF8A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38,250.00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EA60" w14:textId="2ADBE81B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0923" w14:textId="249BCEA3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809F" w14:textId="06F49074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38,250.00 </w:t>
            </w:r>
          </w:p>
        </w:tc>
      </w:tr>
      <w:tr w:rsidR="00653FC6" w:rsidRPr="00727DF3" w14:paraId="25429BEE" w14:textId="77777777" w:rsidTr="00653FC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5E47E" w14:textId="77777777" w:rsidR="00653FC6" w:rsidRPr="00727DF3" w:rsidRDefault="00653FC6" w:rsidP="00653F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9AB3" w14:textId="77777777" w:rsidR="00653FC6" w:rsidRPr="00727DF3" w:rsidRDefault="00653FC6" w:rsidP="00653F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AB8A4" w14:textId="5AC65AE9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4FE9" w14:textId="21236407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38,250.00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596F" w14:textId="7916B53B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F594" w14:textId="6E48D78E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9168A" w14:textId="2767AF70" w:rsidR="00653FC6" w:rsidRPr="00727DF3" w:rsidRDefault="00653FC6" w:rsidP="00653F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38,250.00 </w:t>
            </w:r>
          </w:p>
        </w:tc>
      </w:tr>
    </w:tbl>
    <w:p w14:paraId="7AA09361" w14:textId="77777777" w:rsidR="00727DF3" w:rsidRDefault="00727DF3" w:rsidP="00727D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23730A6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A06B326" w:rsidR="00985089" w:rsidRPr="00F33F56" w:rsidRDefault="00727DF3" w:rsidP="00CA18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May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5FE1AC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21848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7A424B3E" w14:textId="77777777" w:rsidR="009F4D1C" w:rsidRPr="00E52A51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711CF2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3AD1">
        <w:rPr>
          <w:rFonts w:ascii="Arial" w:eastAsia="Arial" w:hAnsi="Arial" w:cs="Arial"/>
          <w:b/>
          <w:sz w:val="24"/>
          <w:szCs w:val="24"/>
        </w:rPr>
        <w:t>X</w:t>
      </w:r>
      <w:r w:rsidR="0002184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BB98652" w:rsidR="004C4D79" w:rsidRPr="00021848" w:rsidRDefault="00727DF3" w:rsidP="0002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30</w:t>
            </w:r>
            <w:r w:rsidR="00CA18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April</w:t>
            </w:r>
            <w:r w:rsidR="00CA18A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626A8" w14:textId="7558131E" w:rsidR="00CA18AF" w:rsidRDefault="00021848" w:rsidP="00CA18A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XI through </w:t>
            </w:r>
            <w:r w:rsidR="00653FC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its Disaster Response Management Division (DRMD)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in close coordination with the City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Social Welfare Development Office</w:t>
            </w:r>
            <w:r w:rsidR="00727D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(CSWDO)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and City Disaster Risk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Reduction Management Office for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possible augmentation assistance needed by the affected families.</w:t>
            </w:r>
          </w:p>
          <w:p w14:paraId="1CDEAA12" w14:textId="294A026A" w:rsidR="00727DF3" w:rsidRPr="00CA18AF" w:rsidRDefault="00727DF3" w:rsidP="00CA18A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CSWDO of Davao City has set-up mobile kitchen for the affected families. </w:t>
            </w:r>
          </w:p>
        </w:tc>
      </w:tr>
    </w:tbl>
    <w:p w14:paraId="5140DCC4" w14:textId="77777777" w:rsidR="009F4D1C" w:rsidRDefault="009F4D1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17F71E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3DDA17C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893AD1">
        <w:rPr>
          <w:rFonts w:ascii="Arial" w:eastAsia="Arial" w:hAnsi="Arial" w:cs="Arial"/>
          <w:i/>
          <w:sz w:val="20"/>
          <w:szCs w:val="20"/>
        </w:rPr>
        <w:t>X</w:t>
      </w:r>
      <w:r w:rsidR="00021848">
        <w:rPr>
          <w:rFonts w:ascii="Arial" w:eastAsia="Arial" w:hAnsi="Arial" w:cs="Arial"/>
          <w:i/>
          <w:sz w:val="20"/>
          <w:szCs w:val="20"/>
        </w:rPr>
        <w:t>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4EE25790" w:rsidR="0011000C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C461E48" w14:textId="77777777" w:rsidR="00653FC6" w:rsidRPr="00E52A51" w:rsidRDefault="00653FC6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D282E52" w:rsidR="0011000C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85F26F" w14:textId="77777777" w:rsidR="00624EE1" w:rsidRPr="00E52A51" w:rsidRDefault="00624EE1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BDB73B" w14:textId="2A0D4D3A" w:rsidR="00624EE1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287C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587F0A" w14:textId="40F52BD0" w:rsidR="00624EE1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89EAC46" w14:textId="77777777" w:rsidR="00624EE1" w:rsidRPr="006E4185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27550B" w14:textId="77777777" w:rsidR="00624EE1" w:rsidRDefault="00624EE1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4EE1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47D17CB" w14:textId="602C1B7C" w:rsidR="00D751C0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3848" w14:textId="77777777" w:rsidR="00120038" w:rsidRDefault="00120038">
      <w:pPr>
        <w:spacing w:after="0" w:line="240" w:lineRule="auto"/>
      </w:pPr>
      <w:r>
        <w:separator/>
      </w:r>
    </w:p>
  </w:endnote>
  <w:endnote w:type="continuationSeparator" w:id="0">
    <w:p w14:paraId="601D46B7" w14:textId="77777777" w:rsidR="00120038" w:rsidRDefault="0012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43E4077" w:rsidR="007E5A31" w:rsidRPr="00C52BCC" w:rsidRDefault="007E5A31" w:rsidP="005071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727DF3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727DF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DF005A">
      <w:rPr>
        <w:rFonts w:ascii="Arial" w:eastAsia="Arial" w:hAnsi="Arial" w:cs="Arial"/>
        <w:sz w:val="14"/>
        <w:szCs w:val="14"/>
      </w:rPr>
      <w:t>DSWD DROMIC Report #2</w:t>
    </w:r>
    <w:r w:rsidR="005071D7">
      <w:rPr>
        <w:rFonts w:ascii="Arial" w:eastAsia="Arial" w:hAnsi="Arial" w:cs="Arial"/>
        <w:sz w:val="14"/>
        <w:szCs w:val="14"/>
      </w:rPr>
      <w:t xml:space="preserve"> on the Flooding Incident in Davao City </w:t>
    </w:r>
    <w:r w:rsidR="005071D7" w:rsidRPr="005071D7">
      <w:rPr>
        <w:rFonts w:ascii="Arial" w:eastAsia="Arial" w:hAnsi="Arial" w:cs="Arial"/>
        <w:sz w:val="14"/>
        <w:szCs w:val="14"/>
      </w:rPr>
      <w:t xml:space="preserve">as of </w:t>
    </w:r>
    <w:r w:rsidR="00DF005A">
      <w:rPr>
        <w:rFonts w:ascii="Arial" w:eastAsia="Arial" w:hAnsi="Arial" w:cs="Arial"/>
        <w:sz w:val="14"/>
        <w:szCs w:val="14"/>
      </w:rPr>
      <w:t>01 May</w:t>
    </w:r>
    <w:r w:rsidR="005071D7" w:rsidRPr="005071D7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72EC" w14:textId="77777777" w:rsidR="00120038" w:rsidRDefault="00120038">
      <w:pPr>
        <w:spacing w:after="0" w:line="240" w:lineRule="auto"/>
      </w:pPr>
      <w:r>
        <w:separator/>
      </w:r>
    </w:p>
  </w:footnote>
  <w:footnote w:type="continuationSeparator" w:id="0">
    <w:p w14:paraId="42CC4129" w14:textId="77777777" w:rsidR="00120038" w:rsidRDefault="0012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E83"/>
    <w:multiLevelType w:val="hybridMultilevel"/>
    <w:tmpl w:val="C424448E"/>
    <w:lvl w:ilvl="0" w:tplc="B9322A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2"/>
  </w:num>
  <w:num w:numId="9">
    <w:abstractNumId w:val="15"/>
  </w:num>
  <w:num w:numId="10">
    <w:abstractNumId w:val="26"/>
  </w:num>
  <w:num w:numId="11">
    <w:abstractNumId w:val="34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1"/>
  </w:num>
  <w:num w:numId="24">
    <w:abstractNumId w:val="22"/>
  </w:num>
  <w:num w:numId="25">
    <w:abstractNumId w:val="35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1848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0038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49C4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392B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725"/>
    <w:rsid w:val="00371C7A"/>
    <w:rsid w:val="00373350"/>
    <w:rsid w:val="00385592"/>
    <w:rsid w:val="00386942"/>
    <w:rsid w:val="00386D44"/>
    <w:rsid w:val="0039157E"/>
    <w:rsid w:val="0039603F"/>
    <w:rsid w:val="003B0938"/>
    <w:rsid w:val="003C199F"/>
    <w:rsid w:val="003C3015"/>
    <w:rsid w:val="003D5C96"/>
    <w:rsid w:val="003D719C"/>
    <w:rsid w:val="003D72F6"/>
    <w:rsid w:val="003E39C8"/>
    <w:rsid w:val="003E5954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071D7"/>
    <w:rsid w:val="00510078"/>
    <w:rsid w:val="00510B56"/>
    <w:rsid w:val="00512F94"/>
    <w:rsid w:val="0052595A"/>
    <w:rsid w:val="005405A6"/>
    <w:rsid w:val="00542838"/>
    <w:rsid w:val="0055571E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4EE1"/>
    <w:rsid w:val="0062558F"/>
    <w:rsid w:val="00635DDB"/>
    <w:rsid w:val="00642CB1"/>
    <w:rsid w:val="00651F59"/>
    <w:rsid w:val="00653FC6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5DAF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27DF3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7F205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3AD1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9F4D1C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18AF"/>
    <w:rsid w:val="00CA53F6"/>
    <w:rsid w:val="00CA6EE8"/>
    <w:rsid w:val="00CB04F1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44D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005A"/>
    <w:rsid w:val="00DF122B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37D7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4</cp:revision>
  <dcterms:created xsi:type="dcterms:W3CDTF">2021-05-01T09:03:00Z</dcterms:created>
  <dcterms:modified xsi:type="dcterms:W3CDTF">2021-05-01T10:13:00Z</dcterms:modified>
</cp:coreProperties>
</file>