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08CDD" w14:textId="60032C2D" w:rsidR="00717F37" w:rsidRDefault="00400D54" w:rsidP="00717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527ED8">
        <w:rPr>
          <w:rFonts w:ascii="Arial" w:eastAsia="Arial" w:hAnsi="Arial" w:cs="Arial"/>
          <w:b/>
          <w:sz w:val="32"/>
          <w:szCs w:val="32"/>
        </w:rPr>
        <w:t>2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>Flooding Incident in</w:t>
      </w:r>
    </w:p>
    <w:p w14:paraId="37E8E3E6" w14:textId="02CCA765" w:rsidR="00C21EAD" w:rsidRDefault="00C21EAD" w:rsidP="00717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Davao </w:t>
      </w:r>
      <w:r w:rsidR="00527ED8">
        <w:rPr>
          <w:rFonts w:ascii="Arial" w:eastAsia="Arial" w:hAnsi="Arial" w:cs="Arial"/>
          <w:b/>
          <w:sz w:val="32"/>
          <w:szCs w:val="32"/>
        </w:rPr>
        <w:t>Region</w:t>
      </w:r>
      <w:r w:rsidR="00717F37">
        <w:rPr>
          <w:rFonts w:ascii="Arial" w:eastAsia="Arial" w:hAnsi="Arial" w:cs="Arial"/>
          <w:b/>
          <w:sz w:val="32"/>
          <w:szCs w:val="32"/>
        </w:rPr>
        <w:t xml:space="preserve"> due to Trough of LPA</w:t>
      </w:r>
    </w:p>
    <w:p w14:paraId="106EECC5" w14:textId="52E04456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717F37">
        <w:rPr>
          <w:rFonts w:ascii="Arial" w:eastAsia="Arial" w:hAnsi="Arial" w:cs="Arial"/>
          <w:sz w:val="24"/>
          <w:szCs w:val="24"/>
        </w:rPr>
        <w:t>1</w:t>
      </w:r>
      <w:r w:rsidR="00527ED8">
        <w:rPr>
          <w:rFonts w:ascii="Arial" w:eastAsia="Arial" w:hAnsi="Arial" w:cs="Arial"/>
          <w:sz w:val="24"/>
          <w:szCs w:val="24"/>
        </w:rPr>
        <w:t>5</w:t>
      </w:r>
      <w:r w:rsidR="00717F37">
        <w:rPr>
          <w:rFonts w:ascii="Arial" w:eastAsia="Arial" w:hAnsi="Arial" w:cs="Arial"/>
          <w:sz w:val="24"/>
          <w:szCs w:val="24"/>
        </w:rPr>
        <w:t xml:space="preserve"> April </w:t>
      </w:r>
      <w:r w:rsidR="00E70DF8" w:rsidRPr="006E4185">
        <w:rPr>
          <w:rFonts w:ascii="Arial" w:eastAsia="Arial" w:hAnsi="Arial" w:cs="Arial"/>
          <w:sz w:val="24"/>
          <w:szCs w:val="24"/>
        </w:rPr>
        <w:t>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01B91032" w:rsidR="000943C4" w:rsidRPr="000943C4" w:rsidRDefault="000943C4" w:rsidP="00717F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</w:t>
      </w:r>
      <w:r w:rsidR="00717F3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:00 </w:t>
      </w:r>
      <w:r w:rsidR="00717F3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</w:t>
      </w:r>
      <w:r w:rsidR="00717F37" w:rsidRPr="00717F37">
        <w:rPr>
          <w:rFonts w:ascii="Arial" w:eastAsia="Arial" w:hAnsi="Arial" w:cs="Arial"/>
          <w:sz w:val="24"/>
          <w:szCs w:val="24"/>
        </w:rPr>
        <w:t>11 April 2021</w:t>
      </w:r>
      <w:r w:rsidRPr="000943C4">
        <w:rPr>
          <w:rFonts w:ascii="Arial" w:eastAsia="Arial" w:hAnsi="Arial" w:cs="Arial"/>
          <w:sz w:val="24"/>
          <w:szCs w:val="24"/>
        </w:rPr>
        <w:t xml:space="preserve">, </w:t>
      </w:r>
      <w:r w:rsidR="00717F37">
        <w:rPr>
          <w:rFonts w:ascii="Arial" w:eastAsia="Arial" w:hAnsi="Arial" w:cs="Arial"/>
          <w:sz w:val="24"/>
          <w:szCs w:val="24"/>
        </w:rPr>
        <w:t xml:space="preserve">the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trough of </w:t>
      </w:r>
      <w:r w:rsidR="00717F37">
        <w:rPr>
          <w:rFonts w:ascii="Arial" w:eastAsia="Arial" w:hAnsi="Arial" w:cs="Arial"/>
          <w:sz w:val="24"/>
          <w:szCs w:val="24"/>
        </w:rPr>
        <w:t>the Low-Pressure Area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</w:t>
      </w:r>
      <w:r w:rsidR="00717F37">
        <w:rPr>
          <w:rFonts w:ascii="Arial" w:eastAsia="Arial" w:hAnsi="Arial" w:cs="Arial"/>
          <w:sz w:val="24"/>
          <w:szCs w:val="24"/>
        </w:rPr>
        <w:t>(</w:t>
      </w:r>
      <w:r w:rsidR="00717F37" w:rsidRPr="00717F37">
        <w:rPr>
          <w:rFonts w:ascii="Arial" w:eastAsia="Arial" w:hAnsi="Arial" w:cs="Arial"/>
          <w:sz w:val="24"/>
          <w:szCs w:val="24"/>
        </w:rPr>
        <w:t>LPA</w:t>
      </w:r>
      <w:r w:rsidR="00717F37">
        <w:rPr>
          <w:rFonts w:ascii="Arial" w:eastAsia="Arial" w:hAnsi="Arial" w:cs="Arial"/>
          <w:sz w:val="24"/>
          <w:szCs w:val="24"/>
        </w:rPr>
        <w:t>) will affect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the eastern section of Mindanao</w:t>
      </w:r>
      <w:r w:rsidR="00717F37">
        <w:rPr>
          <w:rFonts w:ascii="Arial" w:eastAsia="Arial" w:hAnsi="Arial" w:cs="Arial"/>
          <w:sz w:val="24"/>
          <w:szCs w:val="24"/>
        </w:rPr>
        <w:t xml:space="preserve"> and e</w:t>
      </w:r>
      <w:r w:rsidR="00717F37" w:rsidRPr="00717F37">
        <w:rPr>
          <w:rFonts w:ascii="Arial" w:eastAsia="Arial" w:hAnsi="Arial" w:cs="Arial"/>
          <w:sz w:val="24"/>
          <w:szCs w:val="24"/>
        </w:rPr>
        <w:t>asterlies affecting the rest of the country. Davao</w:t>
      </w:r>
      <w:r w:rsidR="00717F37">
        <w:rPr>
          <w:rFonts w:ascii="Arial" w:eastAsia="Arial" w:hAnsi="Arial" w:cs="Arial"/>
          <w:sz w:val="24"/>
          <w:szCs w:val="24"/>
        </w:rPr>
        <w:t xml:space="preserve">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Region </w:t>
      </w:r>
      <w:r w:rsidR="00717F37">
        <w:rPr>
          <w:rFonts w:ascii="Arial" w:eastAsia="Arial" w:hAnsi="Arial" w:cs="Arial"/>
          <w:sz w:val="24"/>
          <w:szCs w:val="24"/>
        </w:rPr>
        <w:t xml:space="preserve">will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have cloudy skies with scattered </w:t>
      </w:r>
      <w:proofErr w:type="spellStart"/>
      <w:r w:rsidR="00717F37" w:rsidRPr="00717F37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="00717F37" w:rsidRPr="00717F37">
        <w:rPr>
          <w:rFonts w:ascii="Arial" w:eastAsia="Arial" w:hAnsi="Arial" w:cs="Arial"/>
          <w:sz w:val="24"/>
          <w:szCs w:val="24"/>
        </w:rPr>
        <w:t xml:space="preserve"> and thunderstorms</w:t>
      </w:r>
      <w:r w:rsidR="00717F37">
        <w:rPr>
          <w:rFonts w:ascii="Arial" w:eastAsia="Arial" w:hAnsi="Arial" w:cs="Arial"/>
          <w:sz w:val="24"/>
          <w:szCs w:val="24"/>
        </w:rPr>
        <w:t xml:space="preserve"> that caused flooding in the province of Davao del Norte.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DD2BBEA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527ED8">
        <w:rPr>
          <w:rFonts w:ascii="Arial" w:eastAsia="Arial" w:hAnsi="Arial" w:cs="Arial"/>
          <w:b/>
          <w:bCs/>
          <w:color w:val="0070C0"/>
          <w:sz w:val="24"/>
          <w:szCs w:val="24"/>
        </w:rPr>
        <w:t>7</w:t>
      </w:r>
      <w:r w:rsidR="004161AF" w:rsidRPr="004161AF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527ED8">
        <w:rPr>
          <w:rFonts w:ascii="Arial" w:eastAsia="Arial" w:hAnsi="Arial" w:cs="Arial"/>
          <w:b/>
          <w:bCs/>
          <w:color w:val="0070C0"/>
          <w:sz w:val="24"/>
          <w:szCs w:val="24"/>
        </w:rPr>
        <w:t>359</w:t>
      </w:r>
      <w:r w:rsidR="004161AF" w:rsidRPr="004161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527ED8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27ED8">
        <w:rPr>
          <w:rFonts w:ascii="Arial" w:eastAsia="Arial" w:hAnsi="Arial" w:cs="Arial"/>
          <w:b/>
          <w:color w:val="0070C0"/>
          <w:sz w:val="24"/>
          <w:szCs w:val="24"/>
        </w:rPr>
        <w:t>795</w:t>
      </w:r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527ED8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 xml:space="preserve">Davao </w:t>
      </w:r>
      <w:r w:rsidR="004161AF">
        <w:rPr>
          <w:rFonts w:ascii="Arial" w:eastAsia="Arial" w:hAnsi="Arial" w:cs="Arial"/>
          <w:b/>
          <w:color w:val="0070C0"/>
          <w:sz w:val="24"/>
          <w:szCs w:val="24"/>
        </w:rPr>
        <w:t>del Norte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527ED8" w:rsidRPr="00527ED8" w14:paraId="55750C20" w14:textId="77777777" w:rsidTr="00527ED8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7FE651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B35FF5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27ED8" w:rsidRPr="00527ED8" w14:paraId="7CB67E2A" w14:textId="77777777" w:rsidTr="00527ED8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089D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02882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5EC2EA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6873FC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27ED8" w:rsidRPr="00527ED8" w14:paraId="25F5C6E6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63D8A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738CB5" w14:textId="6A24091E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E9D0B9" w14:textId="30DD87B9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7,359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F9394C" w14:textId="781B57A4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36,795 </w:t>
            </w:r>
          </w:p>
        </w:tc>
      </w:tr>
      <w:tr w:rsidR="00527ED8" w:rsidRPr="00527ED8" w14:paraId="0E534916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DC36ED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405F9" w14:textId="132F0219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62688" w14:textId="5057CFA3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7,359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0F9A9" w14:textId="3351B203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36,795 </w:t>
            </w:r>
          </w:p>
        </w:tc>
      </w:tr>
      <w:tr w:rsidR="00527ED8" w:rsidRPr="00527ED8" w14:paraId="329A8627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777BB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91741" w14:textId="109C19D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DD5AF" w14:textId="7186AF8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5,843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B4F7A" w14:textId="5CFC6585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29,215 </w:t>
            </w:r>
          </w:p>
        </w:tc>
      </w:tr>
      <w:tr w:rsidR="00527ED8" w:rsidRPr="00527ED8" w14:paraId="1EBE8578" w14:textId="77777777" w:rsidTr="00527ED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5BE2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E584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A889" w14:textId="3768094F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505C" w14:textId="49CEEEC3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5,843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AE6E" w14:textId="09DF5009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29,215 </w:t>
            </w:r>
          </w:p>
        </w:tc>
      </w:tr>
      <w:tr w:rsidR="00527ED8" w:rsidRPr="00527ED8" w14:paraId="584AFA10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313C7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A8234" w14:textId="379C99EF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1AE41" w14:textId="7EE96162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6B148" w14:textId="5650F47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7,580 </w:t>
            </w:r>
          </w:p>
        </w:tc>
      </w:tr>
      <w:tr w:rsidR="00527ED8" w:rsidRPr="00527ED8" w14:paraId="7B25338F" w14:textId="77777777" w:rsidTr="00527ED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12A0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63A8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1494" w14:textId="3C9B7F12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1E80" w14:textId="5E88EC62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D8D5" w14:textId="353EE62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7,580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0DA97A35" w:rsidR="00676FD2" w:rsidRPr="00D770F5" w:rsidRDefault="00D770F5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770F5">
        <w:rPr>
          <w:rFonts w:ascii="Arial" w:eastAsia="Arial" w:hAnsi="Arial" w:cs="Arial"/>
          <w:sz w:val="24"/>
          <w:szCs w:val="24"/>
        </w:rPr>
        <w:t>A total of</w:t>
      </w:r>
      <w:r w:rsidR="000269A0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70F5">
        <w:rPr>
          <w:rFonts w:ascii="Arial" w:eastAsia="Arial" w:hAnsi="Arial" w:cs="Arial"/>
          <w:b/>
          <w:sz w:val="24"/>
          <w:szCs w:val="24"/>
        </w:rPr>
        <w:t>17</w:t>
      </w:r>
      <w:r w:rsidR="004161AF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D770F5">
        <w:rPr>
          <w:rFonts w:ascii="Arial" w:eastAsia="Arial" w:hAnsi="Arial" w:cs="Arial"/>
          <w:b/>
          <w:sz w:val="24"/>
          <w:szCs w:val="24"/>
        </w:rPr>
        <w:t>families</w:t>
      </w:r>
      <w:r w:rsidR="000269A0" w:rsidRPr="00D770F5">
        <w:rPr>
          <w:rFonts w:ascii="Arial" w:eastAsia="Arial" w:hAnsi="Arial" w:cs="Arial"/>
          <w:sz w:val="24"/>
          <w:szCs w:val="24"/>
        </w:rPr>
        <w:t xml:space="preserve"> or </w:t>
      </w:r>
      <w:r w:rsidRPr="00D770F5">
        <w:rPr>
          <w:rFonts w:ascii="Arial" w:eastAsia="Arial" w:hAnsi="Arial" w:cs="Arial"/>
          <w:b/>
          <w:sz w:val="24"/>
          <w:szCs w:val="24"/>
        </w:rPr>
        <w:t>85</w:t>
      </w:r>
      <w:r w:rsidR="005F58F9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D770F5">
        <w:rPr>
          <w:rFonts w:ascii="Arial" w:eastAsia="Arial" w:hAnsi="Arial" w:cs="Arial"/>
          <w:b/>
          <w:sz w:val="24"/>
          <w:szCs w:val="24"/>
        </w:rPr>
        <w:t>persons</w:t>
      </w:r>
      <w:r w:rsidR="000269A0" w:rsidRPr="00D770F5">
        <w:rPr>
          <w:rFonts w:ascii="Arial" w:eastAsia="Arial" w:hAnsi="Arial" w:cs="Arial"/>
          <w:sz w:val="24"/>
          <w:szCs w:val="24"/>
        </w:rPr>
        <w:t xml:space="preserve"> </w:t>
      </w:r>
      <w:r w:rsidRPr="00D770F5">
        <w:rPr>
          <w:rFonts w:ascii="Arial" w:eastAsia="Arial" w:hAnsi="Arial" w:cs="Arial"/>
          <w:sz w:val="24"/>
          <w:szCs w:val="24"/>
        </w:rPr>
        <w:t>took</w:t>
      </w:r>
      <w:r w:rsidR="00894354" w:rsidRPr="00D770F5">
        <w:rPr>
          <w:rFonts w:ascii="Arial" w:eastAsia="Arial" w:hAnsi="Arial" w:cs="Arial"/>
          <w:sz w:val="24"/>
          <w:szCs w:val="24"/>
        </w:rPr>
        <w:t xml:space="preserve"> temporary shelter </w:t>
      </w:r>
      <w:r w:rsidR="004161AF" w:rsidRPr="00D770F5">
        <w:rPr>
          <w:rFonts w:ascii="Arial" w:eastAsia="Arial" w:hAnsi="Arial" w:cs="Arial"/>
          <w:sz w:val="24"/>
          <w:szCs w:val="24"/>
        </w:rPr>
        <w:t>at the</w:t>
      </w:r>
      <w:r w:rsidR="004161AF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161AF" w:rsidRPr="00D770F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161AF" w:rsidRPr="00D770F5">
        <w:rPr>
          <w:rFonts w:ascii="Arial" w:eastAsia="Arial" w:hAnsi="Arial" w:cs="Arial"/>
          <w:b/>
          <w:sz w:val="24"/>
          <w:szCs w:val="24"/>
        </w:rPr>
        <w:t xml:space="preserve">. New Panay </w:t>
      </w:r>
      <w:proofErr w:type="spellStart"/>
      <w:r w:rsidR="004161AF" w:rsidRPr="00D770F5">
        <w:rPr>
          <w:rFonts w:ascii="Arial" w:eastAsia="Arial" w:hAnsi="Arial" w:cs="Arial"/>
          <w:b/>
          <w:sz w:val="24"/>
          <w:szCs w:val="24"/>
        </w:rPr>
        <w:t>Salvacion</w:t>
      </w:r>
      <w:proofErr w:type="spellEnd"/>
      <w:r w:rsidR="004161AF" w:rsidRPr="00D770F5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5F58F9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D770F5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D770F5" w:rsidRPr="00D770F5" w14:paraId="13CCD783" w14:textId="77777777" w:rsidTr="00D770F5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8027E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4643C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615F7B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70F5" w:rsidRPr="00D770F5" w14:paraId="56E4F0E4" w14:textId="77777777" w:rsidTr="00D770F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80A0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5144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075810F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770F5" w:rsidRPr="00D770F5" w14:paraId="47BB7E53" w14:textId="77777777" w:rsidTr="00D770F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4FDE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C6D9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74C72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5C948C" w14:textId="33B070E9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770F5" w:rsidRPr="00D770F5" w14:paraId="24D3F2E0" w14:textId="77777777" w:rsidTr="00D770F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0A38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96FEE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DC7CD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6BBE5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3116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3FFC74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C4CC06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770F5" w:rsidRPr="00D770F5" w14:paraId="4E6C1549" w14:textId="77777777" w:rsidTr="00D770F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5AC9C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B9C70" w14:textId="18DB295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D3E44" w14:textId="719BEE6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A9EC7" w14:textId="6D5EC0F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A1D99" w14:textId="4231DEC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E403D" w14:textId="1A00BA9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D32CD7" w14:textId="2EA9FE1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70F5" w:rsidRPr="00D770F5" w14:paraId="667891AD" w14:textId="77777777" w:rsidTr="00D770F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7981EA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9B32C" w14:textId="67228394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B4532" w14:textId="01A53841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FA816F" w14:textId="73D1CC10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432DF" w14:textId="650EAC3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09404" w14:textId="0CEDE3A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B32CD" w14:textId="5EE4D719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70F5" w:rsidRPr="00D770F5" w14:paraId="4031EFC6" w14:textId="77777777" w:rsidTr="00D770F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98452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61BE6" w14:textId="527DD55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925CA" w14:textId="7DA21DE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B8B0D" w14:textId="73D6E5A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2554D" w14:textId="619681BA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F542C" w14:textId="287561D4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CF6B9" w14:textId="3ECDEDA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70F5" w:rsidRPr="00D770F5" w14:paraId="1FD7E3BC" w14:textId="77777777" w:rsidTr="00D770F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84D3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A32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FD64" w14:textId="02EDE15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A038" w14:textId="0AC469C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7BB5" w14:textId="75A17452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8FDE" w14:textId="5DA15AF9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0B91" w14:textId="58274BF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A44E" w14:textId="797B2C0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7B4DB3C1" w:rsidR="000269A0" w:rsidRDefault="0040632B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D75346C" w14:textId="77777777" w:rsidR="003429C4" w:rsidRPr="003429C4" w:rsidRDefault="003429C4" w:rsidP="004161A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C0593B2" w14:textId="77777777" w:rsidR="00D770F5" w:rsidRDefault="00847E34" w:rsidP="00D770F5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E5D661F" w14:textId="7BC99111" w:rsidR="00D770F5" w:rsidRPr="00D770F5" w:rsidRDefault="00D770F5" w:rsidP="00D770F5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770F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₱1,456,200.00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Pr="00D770F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₱911,200.00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D770F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₱545,000.00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LGU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6DD563ED" w14:textId="77777777" w:rsidR="00F4549C" w:rsidRPr="00F4549C" w:rsidRDefault="00F4549C" w:rsidP="00F4549C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18"/>
          <w:szCs w:val="18"/>
        </w:rPr>
      </w:pPr>
    </w:p>
    <w:p w14:paraId="494564A2" w14:textId="2416A9B8" w:rsidR="003429C4" w:rsidRPr="003429C4" w:rsidRDefault="003429C4" w:rsidP="003429C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207"/>
        <w:gridCol w:w="1277"/>
        <w:gridCol w:w="1281"/>
        <w:gridCol w:w="785"/>
        <w:gridCol w:w="1050"/>
        <w:gridCol w:w="1439"/>
      </w:tblGrid>
      <w:tr w:rsidR="00D770F5" w:rsidRPr="00D770F5" w14:paraId="7160F8F4" w14:textId="77777777" w:rsidTr="00D770F5">
        <w:trPr>
          <w:trHeight w:val="20"/>
          <w:tblHeader/>
        </w:trPr>
        <w:tc>
          <w:tcPr>
            <w:tcW w:w="18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C15FA4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7EFA9C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770F5" w:rsidRPr="00D770F5" w14:paraId="10CE7ACF" w14:textId="77777777" w:rsidTr="00D770F5">
        <w:trPr>
          <w:trHeight w:val="20"/>
          <w:tblHeader/>
        </w:trPr>
        <w:tc>
          <w:tcPr>
            <w:tcW w:w="1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4149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075DE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AAE4C6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17690F" w14:textId="604A619C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2611DB" w14:textId="208F82E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7DB40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770F5" w:rsidRPr="00D770F5" w14:paraId="4B984ECA" w14:textId="77777777" w:rsidTr="00D770F5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837CA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E10E15" w14:textId="2313FB0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911,200.00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62354" w14:textId="5091B792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545,000.00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E63657" w14:textId="1483A930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F85DE" w14:textId="0E8BC29A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F5C75" w14:textId="58B3870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1,456,200.00 </w:t>
            </w:r>
          </w:p>
        </w:tc>
      </w:tr>
      <w:tr w:rsidR="00D770F5" w:rsidRPr="00D770F5" w14:paraId="5A4DACD3" w14:textId="77777777" w:rsidTr="00D770F5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137D8A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C3EF06" w14:textId="204DAA61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911,200.00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B5957D" w14:textId="5E8E1C29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545,000.00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4D439" w14:textId="6A3DDEA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E5344" w14:textId="31C52178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D3942" w14:textId="7A513B83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1,456,200.00 </w:t>
            </w:r>
          </w:p>
        </w:tc>
      </w:tr>
      <w:tr w:rsidR="00D770F5" w:rsidRPr="00D770F5" w14:paraId="0BCE84CE" w14:textId="77777777" w:rsidTr="00D770F5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BF012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del Norte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5CA8B" w14:textId="43946F32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911,200.00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7EE78" w14:textId="307AB5A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43F5E" w14:textId="672E87A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FE7D1" w14:textId="52A1DEE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D21B5" w14:textId="1965147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1,411,200.00 </w:t>
            </w:r>
          </w:p>
        </w:tc>
      </w:tr>
      <w:tr w:rsidR="00D770F5" w:rsidRPr="00D770F5" w14:paraId="62C84A13" w14:textId="77777777" w:rsidTr="00D770F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98B09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949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20CD" w14:textId="365B7A78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911,200.00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17F0" w14:textId="6E761E9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2642" w14:textId="57E4E3C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842D" w14:textId="0A9C0CFC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6FC9" w14:textId="1FAAC65D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1,411,200.00 </w:t>
            </w:r>
          </w:p>
        </w:tc>
      </w:tr>
      <w:tr w:rsidR="00D770F5" w:rsidRPr="00D770F5" w14:paraId="41CDF34B" w14:textId="77777777" w:rsidTr="00D770F5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E9B90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2A2ED" w14:textId="11E389C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1401A" w14:textId="24E90D7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515C4" w14:textId="65FD824D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0BE65" w14:textId="7C3B5953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4F964" w14:textId="38CC5823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45,000.00 </w:t>
            </w:r>
          </w:p>
        </w:tc>
      </w:tr>
      <w:tr w:rsidR="00D770F5" w:rsidRPr="00D770F5" w14:paraId="401210C8" w14:textId="77777777" w:rsidTr="00D770F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4C1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62B5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6464" w14:textId="73283F0D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115E" w14:textId="6BEC0B5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101A" w14:textId="5364C58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7DD4" w14:textId="358665B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F352" w14:textId="1C92089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</w:tr>
    </w:tbl>
    <w:p w14:paraId="0315F3BF" w14:textId="55CEE714" w:rsidR="003429C4" w:rsidRDefault="003429C4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D83DFE6" w14:textId="77777777" w:rsidR="00D770F5" w:rsidRDefault="00D770F5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BD6B2A4" w:rsidR="00985089" w:rsidRPr="008078F2" w:rsidRDefault="00F4549C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D770F5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AF16829" w:rsidR="004C4D79" w:rsidRPr="00977E92" w:rsidRDefault="00977E92" w:rsidP="00977E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14 </w:t>
            </w:r>
            <w:r w:rsidR="00F4549C" w:rsidRPr="00977E92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785FA" w14:textId="77777777" w:rsidR="00D770F5" w:rsidRDefault="005F58F9" w:rsidP="00D770F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 w:rsidR="000943C4"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through its DRMD </w:t>
            </w:r>
            <w:r w:rsidR="000943C4"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closely coordinating with the Municipal Social Welfare and Development Office (MSWDO) for </w:t>
            </w:r>
            <w:r w:rsidR="00F4549C"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possible augmentation support needed by the affected families. </w:t>
            </w:r>
          </w:p>
          <w:p w14:paraId="174FCE20" w14:textId="78FDB7F7" w:rsidR="00D770F5" w:rsidRPr="00D770F5" w:rsidRDefault="00D770F5" w:rsidP="00D770F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XI 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provided 2,000 family food packs amounting to 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₱911,200.00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to the affected families in </w:t>
            </w:r>
            <w:proofErr w:type="spellStart"/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Sto</w:t>
            </w:r>
            <w:proofErr w:type="spellEnd"/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 Tomas,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Davao del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Norte</w:t>
            </w:r>
          </w:p>
          <w:p w14:paraId="4A26F32D" w14:textId="77777777" w:rsidR="00D205B0" w:rsidRDefault="00F4549C" w:rsidP="00F454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MSWDO of </w:t>
            </w:r>
            <w:proofErr w:type="spellStart"/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Sto</w:t>
            </w:r>
            <w:proofErr w:type="spellEnd"/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 Tomas, Davao del Norte distributed 1,500 family food packs worth ₱500,000.00 to the affected families.</w:t>
            </w:r>
          </w:p>
          <w:p w14:paraId="1CDEAA12" w14:textId="7843C744" w:rsidR="00D770F5" w:rsidRPr="00D770F5" w:rsidRDefault="00D770F5" w:rsidP="00D770F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MSWDO of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Davao City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distributed 150 family food packs worth</w:t>
            </w:r>
            <w:r>
              <w:t xml:space="preserve"> 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₱45,000.00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 the affected families.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2581C977" w:rsidR="00B20409" w:rsidRPr="006E4185" w:rsidRDefault="00D770F5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7F5A0DCF" w:rsidR="00B20409" w:rsidRPr="006E4185" w:rsidRDefault="004161AF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9E38E83" w:rsidR="003429C4" w:rsidRDefault="003429C4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04BCB0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F1AB8" w14:textId="5BC75BE4" w:rsidR="00C9090C" w:rsidRPr="003429C4" w:rsidRDefault="00C9090C" w:rsidP="002207CF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429C4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9E02" w14:textId="77777777" w:rsidR="006A0ADF" w:rsidRDefault="006A0ADF">
      <w:pPr>
        <w:spacing w:after="0" w:line="240" w:lineRule="auto"/>
      </w:pPr>
      <w:r>
        <w:separator/>
      </w:r>
    </w:p>
  </w:endnote>
  <w:endnote w:type="continuationSeparator" w:id="0">
    <w:p w14:paraId="742E102D" w14:textId="77777777" w:rsidR="006A0ADF" w:rsidRDefault="006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5E4106E" w:rsidR="000269A0" w:rsidRPr="00C21EAD" w:rsidRDefault="000269A0" w:rsidP="001F72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3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>DSWD DROMIC Report #</w:t>
    </w:r>
    <w:r w:rsidR="00527ED8">
      <w:rPr>
        <w:rFonts w:ascii="Arial" w:eastAsia="Arial" w:hAnsi="Arial" w:cs="Arial"/>
        <w:sz w:val="14"/>
        <w:szCs w:val="14"/>
      </w:rPr>
      <w:t>2</w:t>
    </w:r>
    <w:r w:rsidR="00C21EAD" w:rsidRPr="00C21EAD">
      <w:rPr>
        <w:rFonts w:ascii="Arial" w:eastAsia="Arial" w:hAnsi="Arial" w:cs="Arial"/>
        <w:sz w:val="14"/>
        <w:szCs w:val="14"/>
      </w:rPr>
      <w:t xml:space="preserve"> on the </w:t>
    </w:r>
    <w:r w:rsidR="001F729E" w:rsidRPr="001F729E">
      <w:rPr>
        <w:rFonts w:ascii="Arial" w:eastAsia="Arial" w:hAnsi="Arial" w:cs="Arial"/>
        <w:sz w:val="14"/>
        <w:szCs w:val="14"/>
      </w:rPr>
      <w:t>Flooding Incident in</w:t>
    </w:r>
    <w:r w:rsidR="001F729E">
      <w:rPr>
        <w:rFonts w:ascii="Arial" w:eastAsia="Arial" w:hAnsi="Arial" w:cs="Arial"/>
        <w:sz w:val="14"/>
        <w:szCs w:val="14"/>
      </w:rPr>
      <w:t xml:space="preserve"> </w:t>
    </w:r>
    <w:r w:rsidR="001F729E" w:rsidRPr="001F729E">
      <w:rPr>
        <w:rFonts w:ascii="Arial" w:eastAsia="Arial" w:hAnsi="Arial" w:cs="Arial"/>
        <w:sz w:val="14"/>
        <w:szCs w:val="14"/>
      </w:rPr>
      <w:t xml:space="preserve">Davao </w:t>
    </w:r>
    <w:r w:rsidR="00527ED8">
      <w:rPr>
        <w:rFonts w:ascii="Arial" w:eastAsia="Arial" w:hAnsi="Arial" w:cs="Arial"/>
        <w:sz w:val="14"/>
        <w:szCs w:val="14"/>
      </w:rPr>
      <w:t>Region</w:t>
    </w:r>
    <w:r w:rsidR="001F729E" w:rsidRPr="001F729E">
      <w:rPr>
        <w:rFonts w:ascii="Arial" w:eastAsia="Arial" w:hAnsi="Arial" w:cs="Arial"/>
        <w:sz w:val="14"/>
        <w:szCs w:val="14"/>
      </w:rPr>
      <w:t xml:space="preserve"> due to Trough of LPA</w:t>
    </w:r>
    <w:r w:rsidR="001F729E">
      <w:rPr>
        <w:rFonts w:ascii="Arial" w:eastAsia="Arial" w:hAnsi="Arial" w:cs="Arial"/>
        <w:sz w:val="14"/>
        <w:szCs w:val="14"/>
      </w:rPr>
      <w:t xml:space="preserve"> </w:t>
    </w:r>
    <w:r w:rsidR="001F729E" w:rsidRPr="001F729E">
      <w:rPr>
        <w:rFonts w:ascii="Arial" w:eastAsia="Arial" w:hAnsi="Arial" w:cs="Arial"/>
        <w:sz w:val="14"/>
        <w:szCs w:val="14"/>
      </w:rPr>
      <w:t>as of 1</w:t>
    </w:r>
    <w:r w:rsidR="00527ED8">
      <w:rPr>
        <w:rFonts w:ascii="Arial" w:eastAsia="Arial" w:hAnsi="Arial" w:cs="Arial"/>
        <w:sz w:val="14"/>
        <w:szCs w:val="14"/>
      </w:rPr>
      <w:t>5</w:t>
    </w:r>
    <w:r w:rsidR="001F729E" w:rsidRPr="001F729E">
      <w:rPr>
        <w:rFonts w:ascii="Arial" w:eastAsia="Arial" w:hAnsi="Arial" w:cs="Arial"/>
        <w:sz w:val="14"/>
        <w:szCs w:val="14"/>
      </w:rPr>
      <w:t xml:space="preserve">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53A8" w14:textId="77777777" w:rsidR="006A0ADF" w:rsidRDefault="006A0ADF">
      <w:pPr>
        <w:spacing w:after="0" w:line="240" w:lineRule="auto"/>
      </w:pPr>
      <w:r>
        <w:separator/>
      </w:r>
    </w:p>
  </w:footnote>
  <w:footnote w:type="continuationSeparator" w:id="0">
    <w:p w14:paraId="3647E568" w14:textId="77777777" w:rsidR="006A0ADF" w:rsidRDefault="006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4A0E"/>
    <w:multiLevelType w:val="hybridMultilevel"/>
    <w:tmpl w:val="F67E062A"/>
    <w:lvl w:ilvl="0" w:tplc="753A94AC">
      <w:start w:val="12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E50"/>
    <w:multiLevelType w:val="hybridMultilevel"/>
    <w:tmpl w:val="4E3268C6"/>
    <w:lvl w:ilvl="0" w:tplc="184C8B44">
      <w:start w:val="12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83FE9"/>
    <w:multiLevelType w:val="hybridMultilevel"/>
    <w:tmpl w:val="B958FE0A"/>
    <w:lvl w:ilvl="0" w:tplc="F9F4A47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5"/>
  </w:num>
  <w:num w:numId="4">
    <w:abstractNumId w:val="21"/>
  </w:num>
  <w:num w:numId="5">
    <w:abstractNumId w:val="22"/>
  </w:num>
  <w:num w:numId="6">
    <w:abstractNumId w:val="30"/>
  </w:num>
  <w:num w:numId="7">
    <w:abstractNumId w:val="19"/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28"/>
  </w:num>
  <w:num w:numId="13">
    <w:abstractNumId w:val="3"/>
  </w:num>
  <w:num w:numId="14">
    <w:abstractNumId w:val="18"/>
  </w:num>
  <w:num w:numId="15">
    <w:abstractNumId w:val="2"/>
  </w:num>
  <w:num w:numId="16">
    <w:abstractNumId w:val="6"/>
  </w:num>
  <w:num w:numId="17">
    <w:abstractNumId w:val="23"/>
  </w:num>
  <w:num w:numId="18">
    <w:abstractNumId w:val="27"/>
  </w:num>
  <w:num w:numId="19">
    <w:abstractNumId w:val="12"/>
  </w:num>
  <w:num w:numId="20">
    <w:abstractNumId w:val="5"/>
  </w:num>
  <w:num w:numId="21">
    <w:abstractNumId w:val="13"/>
  </w:num>
  <w:num w:numId="22">
    <w:abstractNumId w:val="31"/>
  </w:num>
  <w:num w:numId="23">
    <w:abstractNumId w:val="33"/>
  </w:num>
  <w:num w:numId="24">
    <w:abstractNumId w:val="25"/>
  </w:num>
  <w:num w:numId="25">
    <w:abstractNumId w:val="37"/>
  </w:num>
  <w:num w:numId="26">
    <w:abstractNumId w:val="32"/>
  </w:num>
  <w:num w:numId="27">
    <w:abstractNumId w:val="14"/>
  </w:num>
  <w:num w:numId="28">
    <w:abstractNumId w:val="8"/>
  </w:num>
  <w:num w:numId="29">
    <w:abstractNumId w:val="26"/>
  </w:num>
  <w:num w:numId="30">
    <w:abstractNumId w:val="9"/>
  </w:num>
  <w:num w:numId="31">
    <w:abstractNumId w:val="1"/>
  </w:num>
  <w:num w:numId="32">
    <w:abstractNumId w:val="20"/>
  </w:num>
  <w:num w:numId="33">
    <w:abstractNumId w:val="0"/>
  </w:num>
  <w:num w:numId="34">
    <w:abstractNumId w:val="10"/>
  </w:num>
  <w:num w:numId="35">
    <w:abstractNumId w:val="4"/>
  </w:num>
  <w:num w:numId="36">
    <w:abstractNumId w:val="7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1F58FC"/>
    <w:rsid w:val="001F729E"/>
    <w:rsid w:val="00204CA5"/>
    <w:rsid w:val="00204FE4"/>
    <w:rsid w:val="00212E66"/>
    <w:rsid w:val="002177EB"/>
    <w:rsid w:val="0022046D"/>
    <w:rsid w:val="002207CF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29C4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1AF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27ED8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386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0ADF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17F37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C038E"/>
    <w:rsid w:val="007D586B"/>
    <w:rsid w:val="007D6598"/>
    <w:rsid w:val="007D6982"/>
    <w:rsid w:val="007E38CF"/>
    <w:rsid w:val="007E4DC7"/>
    <w:rsid w:val="007E75A9"/>
    <w:rsid w:val="007F2094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7E34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379FE"/>
    <w:rsid w:val="00940E53"/>
    <w:rsid w:val="00956ED5"/>
    <w:rsid w:val="009629B9"/>
    <w:rsid w:val="00970CF8"/>
    <w:rsid w:val="009721F1"/>
    <w:rsid w:val="009731CF"/>
    <w:rsid w:val="00974364"/>
    <w:rsid w:val="0097590D"/>
    <w:rsid w:val="00977E92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47B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1FAD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05B0"/>
    <w:rsid w:val="00D21386"/>
    <w:rsid w:val="00D343DF"/>
    <w:rsid w:val="00D35715"/>
    <w:rsid w:val="00D47079"/>
    <w:rsid w:val="00D51961"/>
    <w:rsid w:val="00D567C6"/>
    <w:rsid w:val="00D61622"/>
    <w:rsid w:val="00D770F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13"/>
    <w:rsid w:val="00E02039"/>
    <w:rsid w:val="00E113B0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549C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5</cp:revision>
  <dcterms:created xsi:type="dcterms:W3CDTF">2021-04-12T06:38:00Z</dcterms:created>
  <dcterms:modified xsi:type="dcterms:W3CDTF">2021-04-14T09:48:00Z</dcterms:modified>
</cp:coreProperties>
</file>