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AE654" w14:textId="336006D1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1158B7A" w:rsidR="003A0F94" w:rsidRPr="00FC05E8" w:rsidRDefault="003823C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Fire Incident</w:t>
      </w:r>
      <w:r w:rsidR="008D7AC3" w:rsidRPr="00FC05E8">
        <w:rPr>
          <w:rFonts w:ascii="Arial" w:eastAsia="Arial" w:hAnsi="Arial" w:cs="Arial"/>
          <w:b/>
          <w:sz w:val="32"/>
          <w:szCs w:val="32"/>
        </w:rPr>
        <w:t xml:space="preserve"> in </w:t>
      </w:r>
      <w:r>
        <w:rPr>
          <w:rFonts w:ascii="Arial" w:eastAsia="Arial" w:hAnsi="Arial" w:cs="Arial"/>
          <w:b/>
          <w:sz w:val="32"/>
          <w:szCs w:val="32"/>
        </w:rPr>
        <w:t xml:space="preserve">Purok 9,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Tambacan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Iligan City</w:t>
      </w:r>
    </w:p>
    <w:p w14:paraId="150B165C" w14:textId="015ABECB" w:rsidR="00E94313" w:rsidRPr="00FC05E8" w:rsidRDefault="005636BC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1098FD5D" w14:textId="2701D8C9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6800EF6" w:rsidR="005734ED" w:rsidRPr="005636BC" w:rsidRDefault="005636BC" w:rsidP="007328E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This is the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first and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final report on the 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>fire incident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that 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r w:rsidR="00F4007A" w:rsidRP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Purok 9, </w:t>
      </w:r>
      <w:proofErr w:type="spellStart"/>
      <w:r w:rsidR="00F4007A" w:rsidRPr="00F4007A">
        <w:rPr>
          <w:rFonts w:ascii="Arial" w:eastAsia="Arial" w:hAnsi="Arial" w:cs="Arial"/>
          <w:i/>
          <w:color w:val="000000" w:themeColor="text1"/>
          <w:sz w:val="24"/>
          <w:szCs w:val="24"/>
        </w:rPr>
        <w:t>Tambacan</w:t>
      </w:r>
      <w:proofErr w:type="spellEnd"/>
      <w:r w:rsidR="00F4007A" w:rsidRP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Iligan City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="00C670C1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>12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March</w:t>
      </w:r>
      <w:r w:rsidR="00E04AE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37C0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202</w:t>
      </w:r>
      <w:r w:rsidR="00CF794B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The fire was caused by an </w:t>
      </w:r>
      <w:r w:rsidR="00F4007A" w:rsidRPr="00F4007A">
        <w:rPr>
          <w:rFonts w:ascii="Arial" w:eastAsia="Arial" w:hAnsi="Arial" w:cs="Arial"/>
          <w:i/>
          <w:color w:val="000000" w:themeColor="text1"/>
          <w:sz w:val="24"/>
          <w:szCs w:val="24"/>
        </w:rPr>
        <w:t>explosion of a portable butane gas stove</w:t>
      </w:r>
      <w:r w:rsidR="00F4007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</w:p>
    <w:p w14:paraId="77765F38" w14:textId="77777777" w:rsidR="00F4007A" w:rsidRDefault="00F4007A" w:rsidP="009C7C0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1168AB0A" w:rsidR="00F35540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0C9540F" w14:textId="77777777" w:rsidR="007F714D" w:rsidRPr="00EF3303" w:rsidRDefault="007F714D" w:rsidP="005636B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D72F7" w14:textId="1EDEB4C3" w:rsidR="005636BC" w:rsidRPr="005636BC" w:rsidRDefault="005636BC" w:rsidP="005636B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97F90DC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17B0">
        <w:rPr>
          <w:rFonts w:ascii="Arial" w:eastAsia="Arial" w:hAnsi="Arial" w:cs="Arial"/>
          <w:b/>
          <w:color w:val="auto"/>
          <w:sz w:val="24"/>
          <w:szCs w:val="24"/>
        </w:rPr>
        <w:t>20</w:t>
      </w:r>
      <w:proofErr w:type="gramEnd"/>
      <w:r w:rsidR="008D7AC3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317B0">
        <w:rPr>
          <w:rFonts w:ascii="Arial" w:eastAsia="Arial" w:hAnsi="Arial" w:cs="Arial"/>
          <w:b/>
          <w:color w:val="auto"/>
          <w:sz w:val="24"/>
          <w:szCs w:val="24"/>
        </w:rPr>
        <w:t>82</w:t>
      </w:r>
      <w:r w:rsidR="00D90712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317B0" w:rsidRPr="000317B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Purok 9, </w:t>
      </w:r>
      <w:proofErr w:type="spellStart"/>
      <w:r w:rsidR="000317B0" w:rsidRPr="000317B0">
        <w:rPr>
          <w:rFonts w:ascii="Arial" w:eastAsia="Arial" w:hAnsi="Arial" w:cs="Arial"/>
          <w:b/>
          <w:bCs/>
          <w:color w:val="auto"/>
          <w:sz w:val="24"/>
          <w:szCs w:val="24"/>
        </w:rPr>
        <w:t>Tambacan</w:t>
      </w:r>
      <w:proofErr w:type="spellEnd"/>
      <w:r w:rsidR="000317B0" w:rsidRPr="000317B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Iligan City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0317B0" w:rsidRPr="000317B0" w14:paraId="7781B2C2" w14:textId="77777777" w:rsidTr="000317B0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DC6C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ADE5E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317B0" w:rsidRPr="000317B0" w14:paraId="068C8FDB" w14:textId="77777777" w:rsidTr="000317B0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E550A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1FDE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938B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F3C5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317B0" w:rsidRPr="000317B0" w14:paraId="639DAC49" w14:textId="77777777" w:rsidTr="000317B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B8DE7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9231" w14:textId="3A2CE6EB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1FE9" w14:textId="5EC57710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0AA1" w14:textId="407A4D40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</w:tr>
      <w:tr w:rsidR="000317B0" w:rsidRPr="000317B0" w14:paraId="2743E9CA" w14:textId="77777777" w:rsidTr="000317B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58A4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6989" w14:textId="0C3C4AF4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A46D" w14:textId="02F1D7EF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ECF2" w14:textId="3F1F9C71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</w:tr>
      <w:tr w:rsidR="000317B0" w:rsidRPr="000317B0" w14:paraId="19610E08" w14:textId="77777777" w:rsidTr="000317B0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B72E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66E2" w14:textId="20DBD501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3B9A7" w14:textId="5D5329DE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6156F" w14:textId="2AD598CB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</w:tr>
      <w:tr w:rsidR="000317B0" w:rsidRPr="000317B0" w14:paraId="0E736226" w14:textId="77777777" w:rsidTr="000317B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4000E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17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E6F1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5477" w14:textId="6AC6D98A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1373" w14:textId="21DFA97C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01CA" w14:textId="2721E914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</w:tr>
    </w:tbl>
    <w:p w14:paraId="22040A10" w14:textId="42BD041D" w:rsidR="00F35540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853AA91" w14:textId="77777777" w:rsidR="00676426" w:rsidRPr="005D28D3" w:rsidRDefault="00676426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27E99B6F" w:rsidR="00E04AE5" w:rsidRPr="005D28D3" w:rsidRDefault="000317B0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auto"/>
          <w:sz w:val="24"/>
          <w:szCs w:val="24"/>
        </w:rPr>
        <w:t>20</w:t>
      </w:r>
      <w:proofErr w:type="gramEnd"/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5D28D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auto"/>
          <w:sz w:val="24"/>
          <w:szCs w:val="24"/>
        </w:rPr>
        <w:t>82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persons </w:t>
      </w:r>
      <w:r w:rsidR="00676426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317B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Tambacan</w:t>
      </w:r>
      <w:proofErr w:type="spellEnd"/>
      <w:r w:rsidRPr="000317B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Elementary School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2485BF53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9450" w:type="dxa"/>
        <w:tblInd w:w="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85"/>
        <w:gridCol w:w="1069"/>
        <w:gridCol w:w="1069"/>
        <w:gridCol w:w="912"/>
        <w:gridCol w:w="913"/>
        <w:gridCol w:w="912"/>
        <w:gridCol w:w="913"/>
      </w:tblGrid>
      <w:tr w:rsidR="007F714D" w:rsidRPr="000317B0" w14:paraId="12B3E676" w14:textId="77777777" w:rsidTr="007F714D">
        <w:trPr>
          <w:trHeight w:val="20"/>
        </w:trPr>
        <w:tc>
          <w:tcPr>
            <w:tcW w:w="3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C882" w14:textId="77777777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8080" w:fill="808080"/>
          </w:tcPr>
          <w:p w14:paraId="431019CF" w14:textId="2AC603C7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EVACUATION CENTER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FD4A" w14:textId="32FA2FFF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F714D" w:rsidRPr="000317B0" w14:paraId="05F146B0" w14:textId="77777777" w:rsidTr="007F714D">
        <w:trPr>
          <w:trHeight w:val="20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09E5" w14:textId="77777777" w:rsidR="007F714D" w:rsidRPr="000317B0" w:rsidRDefault="007F714D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808080" w:fill="808080"/>
          </w:tcPr>
          <w:p w14:paraId="303C1DC5" w14:textId="664F9712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658B" w14:textId="5BBB01AC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F714D" w:rsidRPr="000317B0" w14:paraId="38C9F583" w14:textId="77777777" w:rsidTr="007F714D">
        <w:trPr>
          <w:trHeight w:val="20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8277" w14:textId="77777777" w:rsidR="007F714D" w:rsidRPr="000317B0" w:rsidRDefault="007F714D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</w:tcPr>
          <w:p w14:paraId="23FAD4B3" w14:textId="7F61FBD2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CF5E" w14:textId="0D4ED2D4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3591" w14:textId="6EBD115D" w:rsidR="007F714D" w:rsidRPr="000317B0" w:rsidRDefault="007F714D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714D" w:rsidRPr="000317B0" w14:paraId="1E34A417" w14:textId="77777777" w:rsidTr="007F714D">
        <w:trPr>
          <w:trHeight w:val="20"/>
        </w:trPr>
        <w:tc>
          <w:tcPr>
            <w:tcW w:w="3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367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1FB83A9E" w14:textId="22CE5FC8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</w:tcPr>
          <w:p w14:paraId="7626CB3B" w14:textId="623D3726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44D4" w14:textId="68BEAE04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4DC2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AF607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2943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F714D" w:rsidRPr="000317B0" w14:paraId="4A9255C8" w14:textId="77777777" w:rsidTr="007F714D">
        <w:trPr>
          <w:trHeight w:val="2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C46D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12D136DD" w14:textId="6DB4A046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0DBA384F" w14:textId="45A8A7A6" w:rsidR="007F714D" w:rsidRPr="000317B0" w:rsidRDefault="00B41A86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80CF" w14:textId="494F9955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5EA9" w14:textId="6D14BB83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74F4" w14:textId="344CD5C2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7C46" w14:textId="12D34254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714D" w:rsidRPr="000317B0" w14:paraId="6C54FE62" w14:textId="77777777" w:rsidTr="007F714D">
        <w:trPr>
          <w:trHeight w:val="2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B704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4CD99ECE" w14:textId="61798F2F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23C535FA" w14:textId="5D72811F" w:rsidR="007F714D" w:rsidRPr="000317B0" w:rsidRDefault="00B41A86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FABB" w14:textId="3C0EEDCA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AF86" w14:textId="25C38150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8E7B" w14:textId="54F35554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E69D" w14:textId="3993F8B4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714D" w:rsidRPr="000317B0" w14:paraId="79C91946" w14:textId="77777777" w:rsidTr="007F714D">
        <w:trPr>
          <w:trHeight w:val="2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FDE6E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5A37A061" w14:textId="0F76EAE0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9765DE9" w14:textId="34E7EF63" w:rsidR="007F714D" w:rsidRPr="000317B0" w:rsidRDefault="00B41A86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D9EE" w14:textId="5FB47842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739A" w14:textId="38BD36BE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4A340" w14:textId="443151C6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B2F4" w14:textId="128D3A85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F714D" w:rsidRPr="000317B0" w14:paraId="29F89164" w14:textId="77777777" w:rsidTr="007F714D">
        <w:trPr>
          <w:trHeight w:val="2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7C14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17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E99A" w14:textId="77777777" w:rsidR="007F714D" w:rsidRPr="000317B0" w:rsidRDefault="007F714D" w:rsidP="007F71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78" w14:textId="601D3CF5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729" w14:textId="26DEA937" w:rsidR="007F714D" w:rsidRPr="000317B0" w:rsidRDefault="00B41A86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86B9" w14:textId="3CFD76A2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2F83" w14:textId="47313E4E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994C" w14:textId="08321726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B0E1" w14:textId="4FB57005" w:rsidR="007F714D" w:rsidRPr="000317B0" w:rsidRDefault="007F714D" w:rsidP="007F71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E50C7E1" w14:textId="5ADC00C8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516EFF1" w14:textId="77777777" w:rsidR="00676426" w:rsidRPr="005D28D3" w:rsidRDefault="00676426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A2D70C5" w14:textId="77777777" w:rsidR="000317B0" w:rsidRDefault="000317B0" w:rsidP="000317B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17B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0088D1B" w14:textId="5BA82C09" w:rsidR="000317B0" w:rsidRPr="000317B0" w:rsidRDefault="000317B0" w:rsidP="000317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17B0">
        <w:rPr>
          <w:rFonts w:ascii="Arial" w:eastAsia="Arial" w:hAnsi="Arial" w:cs="Arial"/>
          <w:sz w:val="24"/>
          <w:szCs w:val="24"/>
        </w:rPr>
        <w:t>A total of</w:t>
      </w:r>
      <w:r w:rsidRPr="000317B0">
        <w:rPr>
          <w:rFonts w:ascii="Arial" w:eastAsia="Arial" w:hAnsi="Arial" w:cs="Arial"/>
          <w:b/>
          <w:sz w:val="24"/>
          <w:szCs w:val="24"/>
        </w:rPr>
        <w:t xml:space="preserve"> </w:t>
      </w:r>
      <w:r w:rsidR="00AA6C5F">
        <w:rPr>
          <w:rFonts w:ascii="Arial" w:eastAsia="Arial" w:hAnsi="Arial" w:cs="Arial"/>
          <w:b/>
          <w:sz w:val="24"/>
          <w:szCs w:val="24"/>
        </w:rPr>
        <w:t>13</w:t>
      </w:r>
      <w:r w:rsidRPr="000317B0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0317B0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AA6C5F">
        <w:rPr>
          <w:rFonts w:ascii="Arial" w:eastAsia="Arial" w:hAnsi="Arial" w:cs="Arial"/>
          <w:b/>
          <w:sz w:val="24"/>
          <w:szCs w:val="24"/>
        </w:rPr>
        <w:t>8</w:t>
      </w:r>
      <w:r w:rsidRPr="000317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17B0">
        <w:rPr>
          <w:rFonts w:ascii="Arial" w:eastAsia="Arial" w:hAnsi="Arial" w:cs="Arial"/>
          <w:sz w:val="24"/>
          <w:szCs w:val="24"/>
        </w:rPr>
        <w:t xml:space="preserve">were </w:t>
      </w:r>
      <w:r w:rsidRPr="000317B0">
        <w:rPr>
          <w:rFonts w:ascii="Arial" w:eastAsia="Arial" w:hAnsi="Arial" w:cs="Arial"/>
          <w:b/>
          <w:sz w:val="24"/>
          <w:szCs w:val="24"/>
        </w:rPr>
        <w:t>totally damaged</w:t>
      </w:r>
      <w:r w:rsidRPr="000317B0">
        <w:rPr>
          <w:rFonts w:ascii="Arial" w:eastAsia="Arial" w:hAnsi="Arial" w:cs="Arial"/>
          <w:sz w:val="24"/>
          <w:szCs w:val="24"/>
        </w:rPr>
        <w:t xml:space="preserve"> and </w:t>
      </w:r>
      <w:r w:rsidR="00AA6C5F">
        <w:rPr>
          <w:rFonts w:ascii="Arial" w:eastAsia="Arial" w:hAnsi="Arial" w:cs="Arial"/>
          <w:b/>
          <w:sz w:val="24"/>
          <w:szCs w:val="24"/>
        </w:rPr>
        <w:t>5</w:t>
      </w:r>
      <w:r w:rsidRPr="000317B0">
        <w:rPr>
          <w:rFonts w:ascii="Arial" w:eastAsia="Arial" w:hAnsi="Arial" w:cs="Arial"/>
          <w:sz w:val="24"/>
          <w:szCs w:val="24"/>
        </w:rPr>
        <w:t xml:space="preserve"> were </w:t>
      </w:r>
      <w:r w:rsidRPr="000317B0">
        <w:rPr>
          <w:rFonts w:ascii="Arial" w:eastAsia="Arial" w:hAnsi="Arial" w:cs="Arial"/>
          <w:b/>
          <w:sz w:val="24"/>
          <w:szCs w:val="24"/>
        </w:rPr>
        <w:t>partially damaged</w:t>
      </w:r>
      <w:r>
        <w:rPr>
          <w:rFonts w:ascii="Arial" w:eastAsia="Arial" w:hAnsi="Arial" w:cs="Arial"/>
          <w:sz w:val="24"/>
          <w:szCs w:val="24"/>
        </w:rPr>
        <w:t xml:space="preserve"> (see Table 3</w:t>
      </w:r>
      <w:r w:rsidRPr="000317B0">
        <w:rPr>
          <w:rFonts w:ascii="Arial" w:eastAsia="Arial" w:hAnsi="Arial" w:cs="Arial"/>
          <w:sz w:val="24"/>
          <w:szCs w:val="24"/>
        </w:rPr>
        <w:t>).</w:t>
      </w:r>
    </w:p>
    <w:p w14:paraId="3319ED7F" w14:textId="77777777" w:rsidR="000317B0" w:rsidRPr="007E034D" w:rsidRDefault="000317B0" w:rsidP="000317B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04B8ECD1" w14:textId="6B2099C7" w:rsidR="000317B0" w:rsidRPr="0038743F" w:rsidRDefault="000317B0" w:rsidP="000317B0">
      <w:pPr>
        <w:spacing w:after="0" w:line="240" w:lineRule="auto"/>
        <w:ind w:firstLine="36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3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7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500"/>
        <w:gridCol w:w="1276"/>
        <w:gridCol w:w="1276"/>
        <w:gridCol w:w="1276"/>
      </w:tblGrid>
      <w:tr w:rsidR="000317B0" w:rsidRPr="000317B0" w14:paraId="32C396E0" w14:textId="77777777" w:rsidTr="000317B0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73C5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92594" w14:textId="6681FEC5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317B0" w:rsidRPr="000317B0" w14:paraId="72C7BFEF" w14:textId="77777777" w:rsidTr="000317B0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8C35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B927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0D639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265F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17B0" w:rsidRPr="000317B0" w14:paraId="5FA7383D" w14:textId="77777777" w:rsidTr="000317B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3D88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5244" w14:textId="0A089E2A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B598" w14:textId="4EE59757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7F94" w14:textId="18B3FF81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317B0" w:rsidRPr="000317B0" w14:paraId="7775CB78" w14:textId="77777777" w:rsidTr="000317B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7672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DB7AD" w14:textId="263B0BE7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2D89" w14:textId="27F4705B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B9166" w14:textId="4B75420E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317B0" w:rsidRPr="000317B0" w14:paraId="2EC0E6A0" w14:textId="77777777" w:rsidTr="000317B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BD7D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133" w14:textId="5B85F052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970F" w14:textId="04C191FD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D2A5" w14:textId="32825452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317B0" w:rsidRPr="000317B0" w14:paraId="4553C301" w14:textId="77777777" w:rsidTr="000317B0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4412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17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2601" w14:textId="77777777" w:rsidR="000317B0" w:rsidRPr="000317B0" w:rsidRDefault="000317B0" w:rsidP="00031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C86F" w14:textId="2A964D96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81C85" w14:textId="1EC75014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FE1F" w14:textId="5FBB2101" w:rsidR="000317B0" w:rsidRPr="000317B0" w:rsidRDefault="000317B0" w:rsidP="00031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0B3796E0" w14:textId="46805625" w:rsidR="000317B0" w:rsidRDefault="000317B0" w:rsidP="000317B0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7FEE295" w14:textId="096FA3E6" w:rsidR="000317B0" w:rsidRDefault="000317B0" w:rsidP="000317B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EF567E" w14:textId="247AF3DA" w:rsidR="00AA6C5F" w:rsidRDefault="00AA6C5F" w:rsidP="000317B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1287D2" w14:textId="2058C15D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73D6C70" w14:textId="43ADA174" w:rsidR="005D28D3" w:rsidRPr="00676426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76426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AA6C5F" w:rsidRPr="00AA6C5F">
        <w:rPr>
          <w:rFonts w:ascii="Arial" w:hAnsi="Arial" w:cs="Arial"/>
          <w:b/>
          <w:bCs/>
          <w:color w:val="auto"/>
          <w:sz w:val="24"/>
          <w:szCs w:val="24"/>
        </w:rPr>
        <w:t xml:space="preserve">152,013.60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AA6C5F" w:rsidRPr="00AA6C5F">
        <w:rPr>
          <w:rFonts w:ascii="Arial" w:hAnsi="Arial" w:cs="Arial"/>
          <w:b/>
          <w:bCs/>
          <w:color w:val="auto"/>
          <w:sz w:val="24"/>
          <w:szCs w:val="24"/>
        </w:rPr>
        <w:t xml:space="preserve">39,013.60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,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AA6C5F" w:rsidRPr="00AA6C5F">
        <w:rPr>
          <w:rFonts w:ascii="Arial" w:hAnsi="Arial" w:cs="Arial"/>
          <w:b/>
          <w:bCs/>
          <w:color w:val="auto"/>
          <w:sz w:val="24"/>
          <w:szCs w:val="24"/>
        </w:rPr>
        <w:t xml:space="preserve">58,000.00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="00AA6C5F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AA6C5F" w:rsidRPr="00AA6C5F">
        <w:rPr>
          <w:rFonts w:ascii="Arial" w:hAnsi="Arial" w:cs="Arial"/>
          <w:b/>
          <w:bCs/>
          <w:color w:val="auto"/>
          <w:sz w:val="24"/>
          <w:szCs w:val="24"/>
        </w:rPr>
        <w:t xml:space="preserve">55,000.00 </w:t>
      </w:r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NGOs </w:t>
      </w:r>
      <w:r w:rsidR="00AA6C5F">
        <w:rPr>
          <w:rFonts w:ascii="Arial" w:hAnsi="Arial" w:cs="Arial"/>
          <w:color w:val="auto"/>
          <w:sz w:val="24"/>
          <w:szCs w:val="24"/>
        </w:rPr>
        <w:t>(see Table 4</w:t>
      </w:r>
      <w:r w:rsidRPr="00676426">
        <w:rPr>
          <w:rFonts w:ascii="Arial" w:hAnsi="Arial" w:cs="Arial"/>
          <w:color w:val="auto"/>
          <w:sz w:val="24"/>
          <w:szCs w:val="24"/>
        </w:rPr>
        <w:t>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3CBD2E3" w:rsidR="005D28D3" w:rsidRPr="00AA6C5F" w:rsidRDefault="00AA6C5F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4</w:t>
      </w:r>
      <w:r w:rsidR="005D28D3"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79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547"/>
        <w:gridCol w:w="1417"/>
        <w:gridCol w:w="1132"/>
        <w:gridCol w:w="1418"/>
        <w:gridCol w:w="990"/>
        <w:gridCol w:w="1693"/>
      </w:tblGrid>
      <w:tr w:rsidR="00AA6C5F" w:rsidRPr="00AA6C5F" w14:paraId="068A077D" w14:textId="77777777" w:rsidTr="00AA6C5F">
        <w:trPr>
          <w:trHeight w:val="43"/>
        </w:trPr>
        <w:tc>
          <w:tcPr>
            <w:tcW w:w="1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A9C5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E29A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A6C5F" w:rsidRPr="00AA6C5F" w14:paraId="2628D4ED" w14:textId="77777777" w:rsidTr="00AA6C5F">
        <w:trPr>
          <w:trHeight w:val="20"/>
        </w:trPr>
        <w:tc>
          <w:tcPr>
            <w:tcW w:w="1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FB92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ED8C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0813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9041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CECD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695C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A6C5F" w:rsidRPr="00AA6C5F" w14:paraId="5BE08948" w14:textId="77777777" w:rsidTr="00AA6C5F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2113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B7C2" w14:textId="6562356E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39,013.60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7001" w14:textId="2592F17A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6D118" w14:textId="3328841D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073F1" w14:textId="47A5E3E6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9F84" w14:textId="59E0E8E4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152,013.60 </w:t>
            </w:r>
          </w:p>
        </w:tc>
      </w:tr>
      <w:tr w:rsidR="00AA6C5F" w:rsidRPr="00AA6C5F" w14:paraId="55C50C9C" w14:textId="77777777" w:rsidTr="00AA6C5F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F7270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0004" w14:textId="42CE0920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39,013.60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5E50" w14:textId="420F93C4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FA22" w14:textId="18164721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A05F" w14:textId="2E45A966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5B4A" w14:textId="59A563E6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152,013.60 </w:t>
            </w:r>
          </w:p>
        </w:tc>
      </w:tr>
      <w:tr w:rsidR="00AA6C5F" w:rsidRPr="00AA6C5F" w14:paraId="1A0B6D5C" w14:textId="77777777" w:rsidTr="00AA6C5F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97A4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0F53" w14:textId="43FA0DE4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39,013.60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FA518" w14:textId="6DBCE816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D3734" w14:textId="456A4D72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832E" w14:textId="6D4D7CD0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6BE2" w14:textId="6E7654A0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152,013.60 </w:t>
            </w:r>
          </w:p>
        </w:tc>
      </w:tr>
      <w:tr w:rsidR="00AA6C5F" w:rsidRPr="00AA6C5F" w14:paraId="6E12D831" w14:textId="77777777" w:rsidTr="00AA6C5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1500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6C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6BC8" w14:textId="77777777" w:rsidR="00AA6C5F" w:rsidRPr="00AA6C5F" w:rsidRDefault="00AA6C5F" w:rsidP="00AA6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495C5" w14:textId="780A9F1B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39,013.60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296A9" w14:textId="2438D135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A10B" w14:textId="37FB1854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000F" w14:textId="46A9C632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09DA" w14:textId="41F16BE8" w:rsidR="00AA6C5F" w:rsidRPr="00AA6C5F" w:rsidRDefault="00AA6C5F" w:rsidP="00AA6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152,013.60 </w:t>
            </w:r>
          </w:p>
        </w:tc>
      </w:tr>
    </w:tbl>
    <w:p w14:paraId="2079BA9F" w14:textId="7250B1C4" w:rsidR="00F4007A" w:rsidRPr="00AA6C5F" w:rsidRDefault="005D28D3" w:rsidP="00AA6C5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4F124A9E" w14:textId="77777777" w:rsidR="00F4007A" w:rsidRPr="00EF3303" w:rsidRDefault="00F4007A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3CA989A5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3F02CC2" w14:textId="521FC9E0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8821806" w:rsidR="0095060C" w:rsidRPr="00786ED6" w:rsidRDefault="00786ED6" w:rsidP="00786ED6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  <w:r w:rsidR="00676426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April</w:t>
            </w:r>
            <w:r w:rsidR="003A0F94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E05C" w14:textId="77777777" w:rsidR="00786ED6" w:rsidRPr="00786ED6" w:rsidRDefault="00676426" w:rsidP="00786E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Pr="0067642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00A5190A" w14:textId="7CFD47A9" w:rsidR="00786ED6" w:rsidRDefault="00606984" w:rsidP="00786E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through </w:t>
            </w:r>
            <w:r w:rsidR="007D7073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Disaster Response Management Division </w:t>
            </w:r>
            <w:r w:rsidR="007D707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(DRMD)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</w:t>
            </w:r>
            <w:r w:rsidR="00786ED6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40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family food packs and </w:t>
            </w:r>
            <w:r w:rsidR="00786ED6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sleeping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kits amounting to a total of ₱</w:t>
            </w:r>
            <w:r w:rsidR="00786ED6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39,0</w:t>
            </w:r>
            <w:r w:rsidR="007D707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786ED6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3.60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to the affected families.</w:t>
            </w:r>
          </w:p>
          <w:p w14:paraId="3FF5F217" w14:textId="77777777" w:rsidR="00786ED6" w:rsidRDefault="00786ED6" w:rsidP="00786E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LGU of Iligan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addressed the immediate needs of the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families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. Each of the 20 fa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milies were provided with half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sack of rice and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food packs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containing a tray of eggs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groceries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amounting to a total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58,000.00 worth of relief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asistance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2BDFEDAC" w14:textId="39889FED" w:rsidR="00676426" w:rsidRPr="00786ED6" w:rsidRDefault="00786ED6" w:rsidP="00786ED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An </w:t>
            </w:r>
            <w:r w:rsidR="00A97D8F">
              <w:rPr>
                <w:rFonts w:ascii="Arial" w:eastAsia="Arial" w:hAnsi="Arial" w:cs="Arial"/>
                <w:color w:val="auto"/>
                <w:sz w:val="20"/>
                <w:szCs w:val="20"/>
              </w:rPr>
              <w:t>international o</w:t>
            </w:r>
            <w:r w:rsidR="00A97D8F"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rganization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provided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₱5,000.00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for each of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affected family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with totally damaged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houses while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₱3,000.00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was given to those with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786ED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damaged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houses.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631B6DFC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request of Technical </w:t>
      </w:r>
      <w:proofErr w:type="spellStart"/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Assisatnce</w:t>
      </w:r>
      <w:proofErr w:type="spellEnd"/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Resource Augmentation (TARA).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63931F37" w:rsidR="00DF4AA2" w:rsidRPr="00FC05E8" w:rsidRDefault="00606984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06984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5B0F1B" w14:textId="77777777" w:rsidR="00606984" w:rsidRDefault="00606984" w:rsidP="003A0F9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</w:p>
    <w:p w14:paraId="6832B8CC" w14:textId="33790900" w:rsidR="00606984" w:rsidRDefault="00606984" w:rsidP="003A0F9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0698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366F5593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7409" w14:textId="77777777" w:rsidR="00AF5877" w:rsidRDefault="00AF5877">
      <w:pPr>
        <w:spacing w:after="0" w:line="240" w:lineRule="auto"/>
      </w:pPr>
      <w:r>
        <w:separator/>
      </w:r>
    </w:p>
  </w:endnote>
  <w:endnote w:type="continuationSeparator" w:id="0">
    <w:p w14:paraId="78ABCD66" w14:textId="77777777" w:rsidR="00AF5877" w:rsidRDefault="00AF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3BCB074" w:rsidR="00470FE4" w:rsidRPr="006404CC" w:rsidRDefault="00FC54C7" w:rsidP="00A97D8F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86ED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86ED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 xml:space="preserve">DSWD DROMIC </w:t>
    </w:r>
    <w:r w:rsidR="005636BC">
      <w:rPr>
        <w:rFonts w:ascii="Arial" w:hAnsi="Arial" w:cs="Arial"/>
        <w:sz w:val="14"/>
        <w:szCs w:val="16"/>
      </w:rPr>
      <w:t>Report</w:t>
    </w:r>
    <w:r w:rsidR="007328E4" w:rsidRPr="007328E4">
      <w:rPr>
        <w:rFonts w:ascii="Arial" w:hAnsi="Arial" w:cs="Arial"/>
        <w:sz w:val="14"/>
        <w:szCs w:val="16"/>
      </w:rPr>
      <w:t xml:space="preserve"> on the</w:t>
    </w:r>
    <w:r w:rsidR="007328E4">
      <w:rPr>
        <w:rFonts w:ascii="Arial" w:hAnsi="Arial" w:cs="Arial"/>
        <w:sz w:val="14"/>
        <w:szCs w:val="16"/>
      </w:rPr>
      <w:t xml:space="preserve"> </w:t>
    </w:r>
    <w:r w:rsidR="00F4007A" w:rsidRPr="00F4007A">
      <w:rPr>
        <w:rFonts w:ascii="Arial" w:hAnsi="Arial" w:cs="Arial"/>
        <w:sz w:val="14"/>
        <w:szCs w:val="16"/>
      </w:rPr>
      <w:t xml:space="preserve">Fire Incident in Purok 9, </w:t>
    </w:r>
    <w:proofErr w:type="spellStart"/>
    <w:r w:rsidR="00F4007A" w:rsidRPr="00F4007A">
      <w:rPr>
        <w:rFonts w:ascii="Arial" w:hAnsi="Arial" w:cs="Arial"/>
        <w:sz w:val="14"/>
        <w:szCs w:val="16"/>
      </w:rPr>
      <w:t>Tambacan</w:t>
    </w:r>
    <w:proofErr w:type="spellEnd"/>
    <w:r w:rsidR="00F4007A" w:rsidRPr="00F4007A">
      <w:rPr>
        <w:rFonts w:ascii="Arial" w:hAnsi="Arial" w:cs="Arial"/>
        <w:sz w:val="14"/>
        <w:szCs w:val="16"/>
      </w:rPr>
      <w:t>, Iligan City</w:t>
    </w:r>
    <w:r w:rsidR="00F4007A">
      <w:rPr>
        <w:rFonts w:ascii="Arial" w:hAnsi="Arial" w:cs="Arial"/>
        <w:sz w:val="14"/>
        <w:szCs w:val="16"/>
      </w:rPr>
      <w:t xml:space="preserve">, </w:t>
    </w:r>
    <w:r w:rsidR="005636BC">
      <w:rPr>
        <w:rFonts w:ascii="Arial" w:hAnsi="Arial" w:cs="Arial"/>
        <w:sz w:val="14"/>
        <w:szCs w:val="16"/>
      </w:rPr>
      <w:t xml:space="preserve">20 April </w:t>
    </w:r>
    <w:r w:rsidR="007328E4" w:rsidRPr="007328E4">
      <w:rPr>
        <w:rFonts w:ascii="Arial" w:hAnsi="Arial" w:cs="Arial"/>
        <w:sz w:val="14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378E" w14:textId="77777777" w:rsidR="00AF5877" w:rsidRDefault="00AF5877">
      <w:pPr>
        <w:spacing w:after="0" w:line="240" w:lineRule="auto"/>
      </w:pPr>
      <w:r>
        <w:separator/>
      </w:r>
    </w:p>
  </w:footnote>
  <w:footnote w:type="continuationSeparator" w:id="0">
    <w:p w14:paraId="5914393C" w14:textId="77777777" w:rsidR="00AF5877" w:rsidRDefault="00AF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81B"/>
    <w:multiLevelType w:val="hybridMultilevel"/>
    <w:tmpl w:val="D8389A56"/>
    <w:lvl w:ilvl="0" w:tplc="1584C4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2504"/>
    <w:multiLevelType w:val="hybridMultilevel"/>
    <w:tmpl w:val="2EBEB258"/>
    <w:lvl w:ilvl="0" w:tplc="6BB812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4"/>
  </w:num>
  <w:num w:numId="5">
    <w:abstractNumId w:val="11"/>
  </w:num>
  <w:num w:numId="6">
    <w:abstractNumId w:val="23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9"/>
  </w:num>
  <w:num w:numId="17">
    <w:abstractNumId w:val="10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  <w:num w:numId="24">
    <w:abstractNumId w:val="8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17B0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823CD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5709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21A9"/>
    <w:rsid w:val="00557C5F"/>
    <w:rsid w:val="005636BC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E54FE"/>
    <w:rsid w:val="00603EA1"/>
    <w:rsid w:val="006049E3"/>
    <w:rsid w:val="00606523"/>
    <w:rsid w:val="00606984"/>
    <w:rsid w:val="00611946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6610E"/>
    <w:rsid w:val="00670985"/>
    <w:rsid w:val="006760CF"/>
    <w:rsid w:val="00676426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86ED6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073"/>
    <w:rsid w:val="007D7E2B"/>
    <w:rsid w:val="007E2A51"/>
    <w:rsid w:val="007E5483"/>
    <w:rsid w:val="007E6117"/>
    <w:rsid w:val="007F1365"/>
    <w:rsid w:val="007F1A8B"/>
    <w:rsid w:val="007F2ABE"/>
    <w:rsid w:val="007F714D"/>
    <w:rsid w:val="00800D89"/>
    <w:rsid w:val="00803294"/>
    <w:rsid w:val="00803C2B"/>
    <w:rsid w:val="008103A9"/>
    <w:rsid w:val="00830BFD"/>
    <w:rsid w:val="00841CD6"/>
    <w:rsid w:val="0084480E"/>
    <w:rsid w:val="00845679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97D8F"/>
    <w:rsid w:val="00AA4736"/>
    <w:rsid w:val="00AA6C5F"/>
    <w:rsid w:val="00AA6CEC"/>
    <w:rsid w:val="00AE096E"/>
    <w:rsid w:val="00AE4967"/>
    <w:rsid w:val="00AE570A"/>
    <w:rsid w:val="00AF1169"/>
    <w:rsid w:val="00AF47F9"/>
    <w:rsid w:val="00AF4FCB"/>
    <w:rsid w:val="00AF5800"/>
    <w:rsid w:val="00AF5877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1A86"/>
    <w:rsid w:val="00B432C3"/>
    <w:rsid w:val="00B51AEA"/>
    <w:rsid w:val="00B520AF"/>
    <w:rsid w:val="00B52125"/>
    <w:rsid w:val="00B55D82"/>
    <w:rsid w:val="00B614D3"/>
    <w:rsid w:val="00B664AE"/>
    <w:rsid w:val="00B74274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3303"/>
    <w:rsid w:val="00EF4003"/>
    <w:rsid w:val="00EF7258"/>
    <w:rsid w:val="00F04638"/>
    <w:rsid w:val="00F12EAD"/>
    <w:rsid w:val="00F24FAE"/>
    <w:rsid w:val="00F35540"/>
    <w:rsid w:val="00F4007A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5729-C7DF-443F-9F34-1B618C2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8</cp:revision>
  <dcterms:created xsi:type="dcterms:W3CDTF">2021-04-19T14:44:00Z</dcterms:created>
  <dcterms:modified xsi:type="dcterms:W3CDTF">2021-04-19T15:10:00Z</dcterms:modified>
</cp:coreProperties>
</file>