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b/>
          <w:sz w:val="32"/>
          <w:szCs w:val="32"/>
        </w:rPr>
      </w:pPr>
      <w:bookmarkStart w:id="0" w:name="_Hlk68339964"/>
      <w:r>
        <w:rPr>
          <w:rFonts w:ascii="Arial" w:hAnsi="Arial" w:eastAsia="Arial" w:cs="Arial"/>
          <w:b/>
          <w:sz w:val="32"/>
          <w:szCs w:val="32"/>
        </w:rPr>
        <w:t xml:space="preserve">DSWD DROMIC Report #1 on the Fire Incident in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Brgy. Maranding, Kapatagan, Lanao del Norte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as of 22 May 2021, 6PM</w:t>
      </w:r>
    </w:p>
    <w:bookmarkEnd w:id="0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eastAsia="Arial" w:cs="Arial"/>
          <w:b/>
          <w:color w:val="002060"/>
          <w:sz w:val="28"/>
          <w:szCs w:val="28"/>
        </w:rPr>
      </w:pPr>
      <w:r>
        <w:rPr>
          <w:rFonts w:ascii="Arial" w:hAnsi="Arial" w:eastAsia="Arial" w:cs="Arial"/>
          <w:b/>
          <w:color w:val="002060"/>
          <w:sz w:val="28"/>
          <w:szCs w:val="28"/>
        </w:rPr>
        <w:t>SUMMARY</w:t>
      </w:r>
    </w:p>
    <w:p>
      <w:pPr>
        <w:spacing w:after="0" w:line="240" w:lineRule="auto"/>
        <w:contextualSpacing/>
        <w:jc w:val="both"/>
        <w:rPr>
          <w:rFonts w:ascii="Arial" w:hAnsi="Arial" w:eastAsia="Arial" w:cs="Arial"/>
          <w:b/>
          <w:color w:val="002060"/>
          <w:sz w:val="20"/>
          <w:szCs w:val="20"/>
        </w:rPr>
      </w:pPr>
    </w:p>
    <w:p>
      <w:pP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On 07 May 2021 at 6:34 PM, a fire incident occurred in Purok-5, Brgy. Maranding. Kapatagan,</w:t>
      </w:r>
      <w:r>
        <w:rPr>
          <w:rFonts w:hint="default" w:ascii="Arial" w:hAnsi="Arial" w:eastAsia="Arial" w:cs="Arial"/>
          <w:sz w:val="24"/>
          <w:szCs w:val="24"/>
          <w:lang w:val="en-US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Lanao del Norte. The cause of fire is due to faulty wiring.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Status of Affected Families / Persons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 total of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>two (2) families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or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>nine (9) persons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were affected by the fire incident in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Purok-5, Brgy. Maranding. Kapatagan, Lanao del Norte </w:t>
      </w:r>
      <w:r>
        <w:rPr>
          <w:rFonts w:ascii="Arial" w:hAnsi="Arial" w:eastAsia="Arial" w:cs="Arial"/>
          <w:sz w:val="24"/>
          <w:szCs w:val="24"/>
        </w:rPr>
        <w:t>(see Table 1).</w:t>
      </w:r>
    </w:p>
    <w:p>
      <w:pPr>
        <w:spacing w:after="0" w:line="240" w:lineRule="auto"/>
        <w:ind w:left="502"/>
        <w:contextualSpacing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ind w:firstLine="426"/>
        <w:contextualSpacing/>
        <w:jc w:val="both"/>
        <w:rPr>
          <w:rFonts w:ascii="Arial" w:hAnsi="Arial" w:eastAsia="Arial" w:cs="Arial"/>
          <w:b/>
          <w:i/>
          <w:color w:val="000000"/>
          <w:sz w:val="20"/>
          <w:szCs w:val="20"/>
        </w:rPr>
      </w:pPr>
      <w:r>
        <w:rPr>
          <w:rFonts w:ascii="Arial" w:hAnsi="Arial" w:eastAsia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Style w:val="9"/>
        <w:tblW w:w="4826" w:type="pct"/>
        <w:tblInd w:w="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"/>
        <w:gridCol w:w="5109"/>
        <w:gridCol w:w="1755"/>
        <w:gridCol w:w="1212"/>
        <w:gridCol w:w="1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278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278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</w:tr>
    </w:tbl>
    <w:p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 xml:space="preserve">Status of Displaced Families / Individuals </w:t>
      </w:r>
      <w:r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>
      <w:pPr>
        <w:spacing w:after="0" w:line="240" w:lineRule="auto"/>
        <w:ind w:left="426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>two (2) families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or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>nine (9) persons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currently taking temporary shelter at the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Municipal Evacuation Center </w:t>
      </w:r>
      <w:r>
        <w:rPr>
          <w:rFonts w:ascii="Arial" w:hAnsi="Arial" w:cs="Arial"/>
          <w:sz w:val="24"/>
          <w:szCs w:val="24"/>
        </w:rPr>
        <w:t xml:space="preserve">(see Table 2). </w:t>
      </w:r>
    </w:p>
    <w:p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>
      <w:pPr>
        <w:spacing w:after="0" w:line="240" w:lineRule="auto"/>
        <w:ind w:firstLine="426"/>
        <w:contextualSpacing/>
        <w:jc w:val="both"/>
        <w:rPr>
          <w:rFonts w:ascii="Arial" w:hAnsi="Arial" w:eastAsia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Style w:val="9"/>
        <w:tblW w:w="4847" w:type="pct"/>
        <w:tblInd w:w="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"/>
        <w:gridCol w:w="3837"/>
        <w:gridCol w:w="916"/>
        <w:gridCol w:w="920"/>
        <w:gridCol w:w="916"/>
        <w:gridCol w:w="920"/>
        <w:gridCol w:w="916"/>
        <w:gridCol w:w="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>
        <w:trPr>
          <w:trHeight w:val="20" w:hRule="atLeast"/>
        </w:trPr>
        <w:tc>
          <w:tcPr>
            <w:tcW w:w="210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</w:tr>
    </w:tbl>
    <w:p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ind w:firstLine="142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>
        <w:rPr>
          <w:rFonts w:ascii="Arial" w:hAnsi="Arial" w:eastAsia="Arial" w:cs="Arial"/>
          <w:i/>
          <w:color w:val="0070C0"/>
          <w:sz w:val="16"/>
          <w:szCs w:val="16"/>
        </w:rPr>
        <w:t>Source: DSWD-FO X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Damaged Houses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 total of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two (2) houses </w:t>
      </w:r>
      <w:r>
        <w:rPr>
          <w:rFonts w:ascii="Arial" w:hAnsi="Arial" w:eastAsia="Arial" w:cs="Arial"/>
          <w:sz w:val="24"/>
          <w:szCs w:val="24"/>
        </w:rPr>
        <w:t xml:space="preserve">were </w:t>
      </w:r>
      <w:r>
        <w:rPr>
          <w:rFonts w:ascii="Arial" w:hAnsi="Arial" w:eastAsia="Arial" w:cs="Arial"/>
          <w:b/>
          <w:color w:val="0070C0"/>
          <w:sz w:val="24"/>
          <w:szCs w:val="24"/>
        </w:rPr>
        <w:t>totally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0070C0"/>
          <w:sz w:val="24"/>
          <w:szCs w:val="24"/>
        </w:rPr>
        <w:t>damaged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by the fire (Table 3).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left="426"/>
        <w:contextualSpacing/>
        <w:rPr>
          <w:rFonts w:ascii="Arial" w:hAnsi="Arial" w:eastAsia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</w:t>
      </w:r>
      <w:r>
        <w:rPr>
          <w:rStyle w:val="27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27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Style w:val="9"/>
        <w:tblW w:w="4875" w:type="pct"/>
        <w:tblInd w:w="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"/>
        <w:gridCol w:w="5528"/>
        <w:gridCol w:w="1282"/>
        <w:gridCol w:w="1282"/>
        <w:gridCol w:w="12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298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8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Assistance Provided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 total of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₱42,117.24 </w:t>
      </w:r>
      <w:r>
        <w:rPr>
          <w:rFonts w:ascii="Arial" w:hAnsi="Arial" w:eastAsia="Arial" w:cs="Arial"/>
          <w:sz w:val="24"/>
          <w:szCs w:val="24"/>
        </w:rPr>
        <w:t xml:space="preserve">worth of assistance was provided to the affected families; of which,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₱4,465.24 </w:t>
      </w:r>
      <w:r>
        <w:rPr>
          <w:rFonts w:ascii="Arial" w:hAnsi="Arial" w:eastAsia="Arial" w:cs="Arial"/>
          <w:sz w:val="24"/>
          <w:szCs w:val="24"/>
        </w:rPr>
        <w:t xml:space="preserve">from </w:t>
      </w:r>
      <w:r>
        <w:rPr>
          <w:rFonts w:ascii="Arial" w:hAnsi="Arial" w:eastAsia="Arial" w:cs="Arial"/>
          <w:b/>
          <w:color w:val="0070C0"/>
          <w:sz w:val="24"/>
          <w:szCs w:val="24"/>
        </w:rPr>
        <w:t>DSWD</w:t>
      </w:r>
      <w:r>
        <w:rPr>
          <w:rFonts w:hint="default" w:ascii="Arial" w:hAnsi="Arial" w:eastAsia="Arial" w:cs="Arial"/>
          <w:sz w:val="24"/>
          <w:szCs w:val="24"/>
          <w:lang w:val="en-US"/>
        </w:rPr>
        <w:t xml:space="preserve">,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₱30,000.00 </w:t>
      </w:r>
      <w:r>
        <w:rPr>
          <w:rFonts w:ascii="Arial" w:hAnsi="Arial" w:eastAsia="Arial" w:cs="Arial"/>
          <w:sz w:val="24"/>
          <w:szCs w:val="24"/>
        </w:rPr>
        <w:t xml:space="preserve">from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LGU </w:t>
      </w:r>
      <w:r>
        <w:rPr>
          <w:rFonts w:ascii="Arial" w:hAnsi="Arial" w:eastAsia="Arial" w:cs="Arial"/>
          <w:sz w:val="24"/>
          <w:szCs w:val="24"/>
        </w:rPr>
        <w:t xml:space="preserve">and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₱7,652.00 </w:t>
      </w:r>
      <w:r>
        <w:rPr>
          <w:rFonts w:ascii="Arial" w:hAnsi="Arial" w:eastAsia="Arial" w:cs="Arial"/>
          <w:sz w:val="24"/>
          <w:szCs w:val="24"/>
        </w:rPr>
        <w:t xml:space="preserve">from </w:t>
      </w:r>
      <w:r>
        <w:rPr>
          <w:rFonts w:ascii="Arial" w:hAnsi="Arial" w:eastAsia="Arial" w:cs="Arial"/>
          <w:b/>
          <w:color w:val="0070C0"/>
          <w:sz w:val="24"/>
          <w:szCs w:val="24"/>
        </w:rPr>
        <w:t>NGOs</w:t>
      </w:r>
      <w:r>
        <w:rPr>
          <w:rFonts w:ascii="Arial" w:hAnsi="Arial" w:eastAsia="Arial" w:cs="Arial"/>
          <w:color w:val="0070C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(see Table 4).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i/>
          <w:sz w:val="20"/>
          <w:szCs w:val="24"/>
        </w:rPr>
      </w:pPr>
      <w:r>
        <w:rPr>
          <w:rFonts w:ascii="Arial" w:hAnsi="Arial" w:eastAsia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Style w:val="9"/>
        <w:tblW w:w="4800" w:type="pct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3411"/>
        <w:gridCol w:w="1139"/>
        <w:gridCol w:w="997"/>
        <w:gridCol w:w="997"/>
        <w:gridCol w:w="997"/>
        <w:gridCol w:w="1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89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9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42,117.24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42,117.24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42,117.24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42,117.24 </w:t>
            </w:r>
          </w:p>
        </w:tc>
      </w:tr>
    </w:tbl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</w:t>
      </w:r>
    </w:p>
    <w:p>
      <w:pPr>
        <w:spacing w:after="0" w:line="240" w:lineRule="auto"/>
        <w:contextualSpacing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color w:val="002060"/>
          <w:sz w:val="28"/>
          <w:szCs w:val="28"/>
        </w:rPr>
      </w:pPr>
      <w:r>
        <w:rPr>
          <w:rFonts w:ascii="Arial" w:hAnsi="Arial" w:eastAsia="Arial" w:cs="Arial"/>
          <w:b/>
          <w:color w:val="002060"/>
          <w:sz w:val="28"/>
          <w:szCs w:val="28"/>
        </w:rPr>
        <w:t>SITUATIONAL REPORT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DSWD-DRMB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7954"/>
      </w:tblGrid>
      <w:tr>
        <w:trPr>
          <w:trHeight w:val="20" w:hRule="atLeast"/>
        </w:trPr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SITUATIONS / ACTIONS UNDERTAKEN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22 May 2021</w:t>
            </w:r>
          </w:p>
        </w:tc>
        <w:tc>
          <w:tcPr>
            <w:tcW w:w="3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DSWD-FO X for significant reports on the status of affected families, assistance, and relief efforts.</w:t>
            </w: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DSWD-FO X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7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SITUATIONS / ACTIONS UNDERTAKEN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21 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DSWD-FO X provided a total of ₱4,465.2</w:t>
            </w:r>
            <w:r>
              <w:rPr>
                <w:rFonts w:hint="default" w:ascii="Arial" w:hAnsi="Arial" w:eastAsia="Arial" w:cs="Arial"/>
                <w:color w:val="0070C0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Arial" w:hAnsi="Arial" w:eastAsia="Arial" w:cs="Arial"/>
                <w:color w:val="0070C0"/>
                <w:sz w:val="20"/>
                <w:szCs w:val="20"/>
              </w:rPr>
              <w:t>relief assistance to the affected families which consists of 2 family food packs, 2 sleeping kits and 2 kitchen kits.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Arial" w:hAnsi="Arial" w:eastAsia="Arial" w:cs="Arial"/>
          <w:i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Arial" w:hAnsi="Arial" w:eastAsia="Arial" w:cs="Arial"/>
          <w:i/>
          <w:sz w:val="20"/>
          <w:szCs w:val="20"/>
        </w:rPr>
      </w:pPr>
      <w:r>
        <w:rPr>
          <w:rFonts w:ascii="Arial" w:hAnsi="Arial" w:eastAsia="Arial" w:cs="Arial"/>
          <w:i/>
          <w:sz w:val="20"/>
          <w:szCs w:val="20"/>
        </w:rPr>
        <w:t>*****</w:t>
      </w:r>
    </w:p>
    <w:p>
      <w:pPr>
        <w:spacing w:after="0" w:line="240" w:lineRule="auto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DSWD-FO X for any significant disaster response updates.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Prepared by: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bookmarkStart w:id="3" w:name="_GoBack"/>
      <w:bookmarkEnd w:id="3"/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MARIE JOYCE G. RAFANAN</w:t>
      </w: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JOANNA CAMILLE R. JACINTO</w:t>
      </w: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hAnsi="Arial" w:eastAsia="Arial" w:cs="Arial"/>
          <w:b/>
          <w:sz w:val="24"/>
          <w:szCs w:val="24"/>
        </w:rPr>
        <w:t>MARC LEO L. BUTAC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Releasing Officer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680" w:right="1077" w:bottom="426" w:left="1077" w:header="357" w:footer="65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6" w:space="1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right"/>
      <w:rPr>
        <w:rFonts w:ascii="Arial" w:hAnsi="Arial" w:eastAsia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NUMPAGES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hAnsi="Arial" w:eastAsia="Arial" w:cs="Arial"/>
        <w:sz w:val="14"/>
        <w:szCs w:val="14"/>
      </w:rPr>
      <w:t>DSWD DROMIC Report #1 on the Fire Incident in Brgy. Maranding, Kapatagan, Lanao del Norte as of 22 May 2021, 6PM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rPr>
        <w:rFonts w:ascii="Arial" w:hAnsi="Arial" w:eastAsia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drawing>
        <wp:inline distT="0" distB="0" distL="0" distR="0">
          <wp:extent cx="2247900" cy="645795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>
                    <a:picLocks noChangeAspect="1"/>
                  </pic:cNvPicPr>
                </pic:nvPicPr>
                <pic:blipFill>
                  <a:blip r:embed="rId2"/>
                  <a:srcRect r="52755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Bdr>
        <w:bottom w:val="single" w:color="000000" w:sz="6" w:space="1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>
    <w:pPr>
      <w:pBdr>
        <w:bottom w:val="single" w:color="000000" w:sz="6" w:space="1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>
    <w:pPr>
      <w:pStyle w:val="11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35C9F"/>
    <w:multiLevelType w:val="multilevel"/>
    <w:tmpl w:val="31635C9F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>
    <w:nsid w:val="769050F0"/>
    <w:multiLevelType w:val="multilevel"/>
    <w:tmpl w:val="769050F0"/>
    <w:lvl w:ilvl="0" w:tentative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675FB"/>
    <w:rsid w:val="00371C7A"/>
    <w:rsid w:val="003733D2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00C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1C87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54164"/>
    <w:rsid w:val="00556720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14081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58EF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BF9"/>
    <w:rsid w:val="00855DC7"/>
    <w:rsid w:val="00860FB3"/>
    <w:rsid w:val="00870DFA"/>
    <w:rsid w:val="0087169C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B5EF1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A1B"/>
    <w:rsid w:val="009E6C2D"/>
    <w:rsid w:val="009E713A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3AA8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2A2F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  <w:rsid w:val="454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200" w:line="276" w:lineRule="auto"/>
    </w:pPr>
    <w:rPr>
      <w:rFonts w:ascii="Calibri" w:hAnsi="Calibri" w:eastAsia="Calibri" w:cs="Calibri"/>
      <w:sz w:val="22"/>
      <w:szCs w:val="22"/>
      <w:lang w:val="en-PH" w:eastAsia="en-PH" w:bidi="ar-SA"/>
    </w:rPr>
  </w:style>
  <w:style w:type="paragraph" w:styleId="2">
    <w:name w:val="heading 1"/>
    <w:basedOn w:val="1"/>
    <w:next w:val="1"/>
    <w:uiPriority w:val="0"/>
    <w:pPr>
      <w:widowControl/>
      <w:spacing w:before="100" w:after="100"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header"/>
    <w:basedOn w:val="1"/>
    <w:link w:val="2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_Style 11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16">
    <w:name w:val="_Style 12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9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_Style 14"/>
    <w:basedOn w:val="9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19">
    <w:name w:val="List Paragraph"/>
    <w:basedOn w:val="1"/>
    <w:link w:val="28"/>
    <w:qFormat/>
    <w:uiPriority w:val="34"/>
    <w:pPr>
      <w:ind w:left="720"/>
      <w:contextualSpacing/>
    </w:pPr>
  </w:style>
  <w:style w:type="character" w:customStyle="1" w:styleId="20">
    <w:name w:val="Header Char"/>
    <w:basedOn w:val="8"/>
    <w:link w:val="11"/>
    <w:uiPriority w:val="99"/>
  </w:style>
  <w:style w:type="paragraph" w:customStyle="1" w:styleId="21">
    <w:name w:val="No Spacing1"/>
    <w:link w:val="22"/>
    <w:qFormat/>
    <w:uiPriority w:val="1"/>
    <w:pPr>
      <w:widowControl/>
      <w:spacing w:after="0" w:line="240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customStyle="1" w:styleId="22">
    <w:name w:val="No Spacing Char"/>
    <w:link w:val="21"/>
    <w:qFormat/>
    <w:uiPriority w:val="1"/>
    <w:rPr>
      <w:rFonts w:eastAsia="SimSun" w:cs="Times New Roman"/>
      <w:lang w:val="en-US" w:eastAsia="en-US"/>
    </w:rPr>
  </w:style>
  <w:style w:type="character" w:customStyle="1" w:styleId="23">
    <w:name w:val="Balloon Text Char"/>
    <w:basedOn w:val="8"/>
    <w:link w:val="10"/>
    <w:semiHidden/>
    <w:uiPriority w:val="99"/>
    <w:rPr>
      <w:rFonts w:ascii="Tahoma" w:hAnsi="Tahoma" w:cs="Tahoma"/>
      <w:sz w:val="16"/>
      <w:szCs w:val="16"/>
    </w:rPr>
  </w:style>
  <w:style w:type="paragraph" w:customStyle="1" w:styleId="24">
    <w:name w:val="m_6794652266622014926gmail-msonormal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m_6794652266622014926gmail-nospacing1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6">
    <w:name w:val="m_-1293240812544522965gmail-msonormal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7">
    <w:name w:val="il"/>
    <w:basedOn w:val="8"/>
    <w:uiPriority w:val="0"/>
  </w:style>
  <w:style w:type="character" w:customStyle="1" w:styleId="28">
    <w:name w:val="List Paragraph Char"/>
    <w:link w:val="19"/>
    <w:locked/>
    <w:uiPriority w:val="34"/>
  </w:style>
  <w:style w:type="paragraph" w:customStyle="1" w:styleId="29">
    <w:name w:val="m_-238788826140140219gmail-msonormal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DSWD-MISS</Company>
  <Pages>2</Pages>
  <Words>492</Words>
  <Characters>2808</Characters>
  <Lines>23</Lines>
  <Paragraphs>6</Paragraphs>
  <TotalTime>18</TotalTime>
  <ScaleCrop>false</ScaleCrop>
  <LinksUpToDate>false</LinksUpToDate>
  <CharactersWithSpaces>3294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2021-05-22T07:14:00Z</dcterms:created>
  <dc:creator>Monica Diane L. Martin</dc:creator>
  <cp:lastModifiedBy>ACER</cp:lastModifiedBy>
  <dcterms:modified xsi:type="dcterms:W3CDTF">2021-05-22T09:22:03Z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