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08601" w14:textId="3F4C2B22" w:rsidR="008D7AC3" w:rsidRDefault="00557C5F" w:rsidP="00785FD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2B5A4C">
        <w:rPr>
          <w:rFonts w:ascii="Arial" w:eastAsia="Arial" w:hAnsi="Arial" w:cs="Arial"/>
          <w:b/>
          <w:sz w:val="32"/>
          <w:szCs w:val="32"/>
        </w:rPr>
        <w:t>3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936B01" w:rsidRPr="00936B01">
        <w:rPr>
          <w:rFonts w:ascii="Arial" w:eastAsia="Arial" w:hAnsi="Arial" w:cs="Arial"/>
          <w:b/>
          <w:sz w:val="32"/>
          <w:szCs w:val="32"/>
        </w:rPr>
        <w:t xml:space="preserve">Displacement due to Armed Conflict in </w:t>
      </w:r>
      <w:proofErr w:type="spellStart"/>
      <w:r w:rsidR="00936B01" w:rsidRPr="00936B01">
        <w:rPr>
          <w:rFonts w:ascii="Arial" w:eastAsia="Arial" w:hAnsi="Arial" w:cs="Arial"/>
          <w:b/>
          <w:sz w:val="32"/>
          <w:szCs w:val="32"/>
        </w:rPr>
        <w:t>Datu</w:t>
      </w:r>
      <w:proofErr w:type="spellEnd"/>
      <w:r w:rsidR="00936B01" w:rsidRPr="00936B01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36B01" w:rsidRPr="00936B01">
        <w:rPr>
          <w:rFonts w:ascii="Arial" w:eastAsia="Arial" w:hAnsi="Arial" w:cs="Arial"/>
          <w:b/>
          <w:sz w:val="32"/>
          <w:szCs w:val="32"/>
        </w:rPr>
        <w:t>Paglas</w:t>
      </w:r>
      <w:proofErr w:type="spellEnd"/>
      <w:r w:rsidR="00936B01" w:rsidRPr="00936B01">
        <w:rPr>
          <w:rFonts w:ascii="Arial" w:eastAsia="Arial" w:hAnsi="Arial" w:cs="Arial"/>
          <w:b/>
          <w:sz w:val="32"/>
          <w:szCs w:val="32"/>
        </w:rPr>
        <w:t>, Maguindanao</w:t>
      </w:r>
    </w:p>
    <w:p w14:paraId="150B165C" w14:textId="1D6B1DFA" w:rsidR="00E94313" w:rsidRPr="00087B5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A10801">
        <w:rPr>
          <w:rFonts w:ascii="Arial" w:eastAsia="Arial" w:hAnsi="Arial" w:cs="Arial"/>
          <w:sz w:val="24"/>
          <w:szCs w:val="24"/>
        </w:rPr>
        <w:t>1</w:t>
      </w:r>
      <w:r w:rsidR="002B5A4C">
        <w:rPr>
          <w:rFonts w:ascii="Arial" w:eastAsia="Arial" w:hAnsi="Arial" w:cs="Arial"/>
          <w:sz w:val="24"/>
          <w:szCs w:val="24"/>
        </w:rPr>
        <w:t>9</w:t>
      </w:r>
      <w:r w:rsidR="00214845">
        <w:rPr>
          <w:rFonts w:ascii="Arial" w:eastAsia="Arial" w:hAnsi="Arial" w:cs="Arial"/>
          <w:sz w:val="24"/>
          <w:szCs w:val="24"/>
        </w:rPr>
        <w:t xml:space="preserve"> </w:t>
      </w:r>
      <w:r w:rsidR="00936B01">
        <w:rPr>
          <w:rFonts w:ascii="Arial" w:eastAsia="Arial" w:hAnsi="Arial" w:cs="Arial"/>
          <w:sz w:val="24"/>
          <w:szCs w:val="24"/>
        </w:rPr>
        <w:t>May</w:t>
      </w:r>
      <w:r w:rsidR="00214845">
        <w:rPr>
          <w:rFonts w:ascii="Arial" w:eastAsia="Arial" w:hAnsi="Arial" w:cs="Arial"/>
          <w:sz w:val="24"/>
          <w:szCs w:val="24"/>
        </w:rPr>
        <w:t xml:space="preserve"> 202</w:t>
      </w:r>
      <w:r w:rsidR="00CF794B">
        <w:rPr>
          <w:rFonts w:ascii="Arial" w:eastAsia="Arial" w:hAnsi="Arial" w:cs="Arial"/>
          <w:sz w:val="24"/>
          <w:szCs w:val="24"/>
        </w:rPr>
        <w:t>1</w:t>
      </w:r>
      <w:r w:rsidR="00214845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087B5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59C53CEE" w:rsidR="005734ED" w:rsidRPr="00087B58" w:rsidRDefault="00C670C1" w:rsidP="00936B01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>08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>May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>ecounter</w:t>
      </w:r>
      <w:proofErr w:type="spellEnd"/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ensued between </w:t>
      </w:r>
      <w:r w:rsidR="00785FDF" w:rsidRPr="00785FDF">
        <w:rPr>
          <w:rFonts w:ascii="Arial" w:eastAsia="Arial" w:hAnsi="Arial" w:cs="Arial"/>
          <w:color w:val="000000" w:themeColor="text1"/>
          <w:sz w:val="24"/>
          <w:szCs w:val="24"/>
        </w:rPr>
        <w:t xml:space="preserve">government troops </w:t>
      </w:r>
      <w:r w:rsidR="00785FDF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785FDF" w:rsidRPr="00785FDF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936B01" w:rsidRPr="00936B01">
        <w:rPr>
          <w:rFonts w:ascii="Arial" w:eastAsia="Arial" w:hAnsi="Arial" w:cs="Arial"/>
          <w:color w:val="000000" w:themeColor="text1"/>
          <w:sz w:val="24"/>
          <w:szCs w:val="24"/>
        </w:rPr>
        <w:t>alleged BIFF group</w:t>
      </w:r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36B01" w:rsidRPr="00936B01">
        <w:rPr>
          <w:rFonts w:ascii="Arial" w:eastAsia="Arial" w:hAnsi="Arial" w:cs="Arial"/>
          <w:color w:val="000000" w:themeColor="text1"/>
          <w:sz w:val="24"/>
          <w:szCs w:val="24"/>
        </w:rPr>
        <w:t>at th</w:t>
      </w:r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 xml:space="preserve">e Public Market in </w:t>
      </w:r>
      <w:proofErr w:type="spellStart"/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>Datu</w:t>
      </w:r>
      <w:proofErr w:type="spellEnd"/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>Paglas</w:t>
      </w:r>
      <w:proofErr w:type="spellEnd"/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936B01" w:rsidRPr="00936B01">
        <w:rPr>
          <w:rFonts w:ascii="Arial" w:eastAsia="Arial" w:hAnsi="Arial" w:cs="Arial"/>
          <w:color w:val="000000" w:themeColor="text1"/>
          <w:sz w:val="24"/>
          <w:szCs w:val="24"/>
        </w:rPr>
        <w:t>Maguindanao</w:t>
      </w:r>
      <w:r w:rsidR="00936B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>resulting to the displacement of the families and individuals in the area.</w:t>
      </w:r>
    </w:p>
    <w:p w14:paraId="0C96463D" w14:textId="7E465F30" w:rsidR="00F35540" w:rsidRPr="00087B58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936B01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8D7AC3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766B9A6" w:rsidR="00470FE4" w:rsidRPr="00A10801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10801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A108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36B01" w:rsidRPr="002B5A4C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2B5A4C" w:rsidRPr="002B5A4C">
        <w:rPr>
          <w:rFonts w:ascii="Arial" w:eastAsia="Arial" w:hAnsi="Arial" w:cs="Arial"/>
          <w:b/>
          <w:color w:val="0070C0"/>
          <w:sz w:val="24"/>
          <w:szCs w:val="24"/>
        </w:rPr>
        <w:t>874</w:t>
      </w:r>
      <w:r w:rsidR="008D7AC3" w:rsidRPr="002B5A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2B5A4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2B5A4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A1080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A10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B5A4C" w:rsidRPr="002B5A4C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936B01" w:rsidRPr="002B5A4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2B5A4C" w:rsidRPr="002B5A4C">
        <w:rPr>
          <w:rFonts w:ascii="Arial" w:eastAsia="Arial" w:hAnsi="Arial" w:cs="Arial"/>
          <w:b/>
          <w:color w:val="0070C0"/>
          <w:sz w:val="24"/>
          <w:szCs w:val="24"/>
        </w:rPr>
        <w:t>248</w:t>
      </w:r>
      <w:r w:rsidR="00D90712" w:rsidRPr="002B5A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2B5A4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2B5A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A10801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A10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1080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A10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A10801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A10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36B01" w:rsidRPr="00A10801">
        <w:rPr>
          <w:rFonts w:ascii="Arial" w:eastAsia="Arial" w:hAnsi="Arial" w:cs="Arial"/>
          <w:b/>
          <w:bCs/>
          <w:color w:val="auto"/>
          <w:sz w:val="24"/>
          <w:szCs w:val="24"/>
        </w:rPr>
        <w:t>six (6) barangays</w:t>
      </w:r>
      <w:r w:rsidR="008D7AC3" w:rsidRPr="00A1080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936B01" w:rsidRPr="00A10801">
        <w:rPr>
          <w:rFonts w:ascii="Arial" w:eastAsia="Arial" w:hAnsi="Arial" w:cs="Arial"/>
          <w:bCs/>
          <w:color w:val="auto"/>
          <w:sz w:val="24"/>
          <w:szCs w:val="24"/>
        </w:rPr>
        <w:t>in</w:t>
      </w:r>
      <w:r w:rsidR="00936B01" w:rsidRPr="00A1080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936B01" w:rsidRPr="00A10801">
        <w:rPr>
          <w:rFonts w:ascii="Arial" w:eastAsia="Arial" w:hAnsi="Arial" w:cs="Arial"/>
          <w:b/>
          <w:bCs/>
          <w:color w:val="auto"/>
          <w:sz w:val="24"/>
          <w:szCs w:val="24"/>
        </w:rPr>
        <w:t>Datu</w:t>
      </w:r>
      <w:proofErr w:type="spellEnd"/>
      <w:r w:rsidR="00936B01" w:rsidRPr="00A1080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936B01" w:rsidRPr="00A10801">
        <w:rPr>
          <w:rFonts w:ascii="Arial" w:eastAsia="Arial" w:hAnsi="Arial" w:cs="Arial"/>
          <w:b/>
          <w:bCs/>
          <w:color w:val="auto"/>
          <w:sz w:val="24"/>
          <w:szCs w:val="24"/>
        </w:rPr>
        <w:t>Paglas</w:t>
      </w:r>
      <w:proofErr w:type="spellEnd"/>
      <w:r w:rsidR="00936B01" w:rsidRPr="00A1080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Maguindanao </w:t>
      </w:r>
      <w:r w:rsidR="0095084B" w:rsidRPr="00A10801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A1080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A10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1080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108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1080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497"/>
        <w:gridCol w:w="1790"/>
        <w:gridCol w:w="1378"/>
        <w:gridCol w:w="1363"/>
      </w:tblGrid>
      <w:tr w:rsidR="002B5A4C" w:rsidRPr="002B5A4C" w14:paraId="726DEB49" w14:textId="77777777" w:rsidTr="002B5A4C">
        <w:trPr>
          <w:trHeight w:val="47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F69032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06A17C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B5A4C" w:rsidRPr="002B5A4C" w14:paraId="3898346A" w14:textId="77777777" w:rsidTr="002B5A4C">
        <w:trPr>
          <w:trHeight w:val="47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FD34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0E7F1E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2F89D3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C73B05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B5A4C" w:rsidRPr="002B5A4C" w14:paraId="7587019E" w14:textId="77777777" w:rsidTr="002B5A4C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C51C22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D53DD0" w14:textId="6A05C198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B118F8" w14:textId="3247E469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1,874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17DC15" w14:textId="0A2990A8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9,248 </w:t>
            </w:r>
          </w:p>
        </w:tc>
      </w:tr>
      <w:tr w:rsidR="002B5A4C" w:rsidRPr="002B5A4C" w14:paraId="55EE8C5F" w14:textId="77777777" w:rsidTr="002B5A4C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560641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3ACF32" w14:textId="656CF1C0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2B7400" w14:textId="33E60D91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1,874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0DFEBC" w14:textId="01025F15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9,248 </w:t>
            </w:r>
          </w:p>
        </w:tc>
      </w:tr>
      <w:tr w:rsidR="002B5A4C" w:rsidRPr="002B5A4C" w14:paraId="7C910E82" w14:textId="77777777" w:rsidTr="002B5A4C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8BEB3C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C24A8" w14:textId="3832DA35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6FBEE" w14:textId="6AA7B6BA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1,874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B841A" w14:textId="0466800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9,248 </w:t>
            </w:r>
          </w:p>
        </w:tc>
      </w:tr>
      <w:tr w:rsidR="002B5A4C" w:rsidRPr="002B5A4C" w14:paraId="7C37BCFC" w14:textId="77777777" w:rsidTr="002B5A4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680F1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9729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Paglas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CD22A" w14:textId="53FACA3F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8009" w14:textId="07DD7E0E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1,874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78686" w14:textId="108A7B38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9,248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47C6154A" w14:textId="5F4887ED" w:rsidR="008D7AC3" w:rsidRDefault="008D7AC3" w:rsidP="008D7AC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36B01">
        <w:rPr>
          <w:rFonts w:ascii="Arial" w:eastAsia="Arial" w:hAnsi="Arial" w:cs="Arial"/>
          <w:i/>
          <w:color w:val="0070C0"/>
          <w:sz w:val="16"/>
          <w:szCs w:val="16"/>
        </w:rPr>
        <w:t>X</w:t>
      </w:r>
      <w:r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7C936689" w14:textId="0191DE22" w:rsidR="00A10801" w:rsidRDefault="00A10801" w:rsidP="008D7AC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31DB311" w14:textId="77777777" w:rsidR="00A10801" w:rsidRDefault="00A10801" w:rsidP="00A1080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Families</w:t>
      </w:r>
    </w:p>
    <w:p w14:paraId="51D58E26" w14:textId="78A484C9" w:rsidR="00A10801" w:rsidRDefault="00A10801" w:rsidP="00A10801">
      <w:pPr>
        <w:pStyle w:val="ListParagraph"/>
        <w:numPr>
          <w:ilvl w:val="0"/>
          <w:numId w:val="25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A8700A3" w14:textId="2BD03B5B" w:rsidR="00A10801" w:rsidRDefault="00A10801" w:rsidP="00A10801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A10801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2B5A4C">
        <w:rPr>
          <w:rFonts w:ascii="Arial" w:eastAsia="Arial" w:hAnsi="Arial" w:cs="Arial"/>
          <w:b/>
          <w:color w:val="0070C0"/>
          <w:sz w:val="24"/>
          <w:szCs w:val="24"/>
        </w:rPr>
        <w:t>207</w:t>
      </w:r>
      <w:r w:rsidRPr="00A1080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10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0801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2B5A4C">
        <w:rPr>
          <w:rFonts w:ascii="Arial" w:eastAsia="Arial" w:hAnsi="Arial" w:cs="Arial"/>
          <w:b/>
          <w:color w:val="0070C0"/>
          <w:sz w:val="24"/>
          <w:szCs w:val="24"/>
        </w:rPr>
        <w:t>997</w:t>
      </w:r>
      <w:r w:rsidRPr="00A1080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10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0801">
        <w:rPr>
          <w:rFonts w:ascii="Arial" w:eastAsia="Arial" w:hAnsi="Arial" w:cs="Arial"/>
          <w:color w:val="auto"/>
          <w:sz w:val="24"/>
          <w:szCs w:val="24"/>
        </w:rPr>
        <w:t xml:space="preserve">currently taking temporary shelter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2B5A4C">
        <w:rPr>
          <w:rFonts w:ascii="Arial" w:eastAsia="Arial" w:hAnsi="Arial" w:cs="Arial"/>
          <w:b/>
          <w:color w:val="0070C0"/>
          <w:sz w:val="24"/>
          <w:szCs w:val="24"/>
        </w:rPr>
        <w:t>four</w:t>
      </w:r>
      <w:r w:rsidRPr="00A10801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2B5A4C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A10801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Pr="00A10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0801">
        <w:rPr>
          <w:rFonts w:ascii="Arial" w:eastAsia="Arial" w:hAnsi="Arial" w:cs="Arial"/>
          <w:b/>
          <w:color w:val="0070C0"/>
          <w:sz w:val="24"/>
          <w:szCs w:val="24"/>
        </w:rPr>
        <w:t>evacuation centers</w:t>
      </w:r>
      <w:r w:rsidRPr="00A10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0801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14:paraId="0E1D9F05" w14:textId="77777777" w:rsidR="00A10801" w:rsidRPr="00A10801" w:rsidRDefault="00A10801" w:rsidP="00A10801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B9A3348" w14:textId="2627BFA0" w:rsidR="00A10801" w:rsidRDefault="00A10801" w:rsidP="00A10801">
      <w:pPr>
        <w:spacing w:after="0" w:line="240" w:lineRule="auto"/>
        <w:ind w:left="709"/>
        <w:contextualSpacing/>
        <w:rPr>
          <w:rFonts w:ascii="Arial" w:eastAsia="Arial" w:hAnsi="Arial" w:cs="Arial"/>
          <w:b/>
          <w:i/>
          <w:color w:val="000000" w:themeColor="text1"/>
          <w:sz w:val="20"/>
          <w:szCs w:val="16"/>
        </w:rPr>
      </w:pPr>
      <w:r w:rsidRPr="00A10801">
        <w:rPr>
          <w:rFonts w:ascii="Arial" w:eastAsia="Arial" w:hAnsi="Arial" w:cs="Arial"/>
          <w:b/>
          <w:i/>
          <w:color w:val="000000" w:themeColor="text1"/>
          <w:sz w:val="20"/>
          <w:szCs w:val="16"/>
        </w:rPr>
        <w:t>Table 2. Number of Displaced Families / Persons Inside Evacuation Center</w:t>
      </w:r>
    </w:p>
    <w:tbl>
      <w:tblPr>
        <w:tblW w:w="4639" w:type="pct"/>
        <w:tblInd w:w="704" w:type="dxa"/>
        <w:tblLook w:val="04A0" w:firstRow="1" w:lastRow="0" w:firstColumn="1" w:lastColumn="0" w:noHBand="0" w:noVBand="1"/>
      </w:tblPr>
      <w:tblGrid>
        <w:gridCol w:w="283"/>
        <w:gridCol w:w="1788"/>
        <w:gridCol w:w="1161"/>
        <w:gridCol w:w="1162"/>
        <w:gridCol w:w="1161"/>
        <w:gridCol w:w="1162"/>
        <w:gridCol w:w="1161"/>
        <w:gridCol w:w="1161"/>
      </w:tblGrid>
      <w:tr w:rsidR="002B5A4C" w:rsidRPr="002B5A4C" w14:paraId="4870E1C3" w14:textId="77777777" w:rsidTr="002B5A4C">
        <w:trPr>
          <w:trHeight w:val="20"/>
        </w:trPr>
        <w:tc>
          <w:tcPr>
            <w:tcW w:w="11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4B0F47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95DF06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5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A99C6EB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B5A4C" w:rsidRPr="002B5A4C" w14:paraId="2018C3C5" w14:textId="77777777" w:rsidTr="002B5A4C">
        <w:trPr>
          <w:trHeight w:val="20"/>
        </w:trPr>
        <w:tc>
          <w:tcPr>
            <w:tcW w:w="11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1DF1E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93D3E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91F47F7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B5A4C" w:rsidRPr="002B5A4C" w14:paraId="7E381B34" w14:textId="77777777" w:rsidTr="002B5A4C">
        <w:trPr>
          <w:trHeight w:val="20"/>
        </w:trPr>
        <w:tc>
          <w:tcPr>
            <w:tcW w:w="11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B2BC3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AD7D1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E6500F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9A0ED7" w14:textId="7B36F155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B5A4C" w:rsidRPr="002B5A4C" w14:paraId="348459EF" w14:textId="77777777" w:rsidTr="002B5A4C">
        <w:trPr>
          <w:trHeight w:val="20"/>
        </w:trPr>
        <w:tc>
          <w:tcPr>
            <w:tcW w:w="11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89692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354278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43D0DB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B0448B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4239F2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B5F49E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764D67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B5A4C" w:rsidRPr="002B5A4C" w14:paraId="0D1D0E32" w14:textId="77777777" w:rsidTr="002B5A4C">
        <w:trPr>
          <w:trHeight w:val="20"/>
        </w:trPr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B8F6B8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DDEC2D" w14:textId="787E7AE4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A5397" w14:textId="3108EF91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258826" w14:textId="7C40418A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E4C770" w14:textId="5EB4F804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C3DEEB" w14:textId="05150B9C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997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4B9EEF" w14:textId="64BC968C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997 </w:t>
            </w:r>
          </w:p>
        </w:tc>
      </w:tr>
      <w:tr w:rsidR="002B5A4C" w:rsidRPr="002B5A4C" w14:paraId="70822703" w14:textId="77777777" w:rsidTr="002B5A4C">
        <w:trPr>
          <w:trHeight w:val="20"/>
        </w:trPr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B63FB3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B67DF6" w14:textId="597CC28A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B083B" w14:textId="7FF82992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478C50" w14:textId="08E27516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DE9A7B" w14:textId="7AAE9266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D903C0" w14:textId="2752BC18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997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71B6E4" w14:textId="027D84F5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997 </w:t>
            </w:r>
          </w:p>
        </w:tc>
      </w:tr>
      <w:tr w:rsidR="002B5A4C" w:rsidRPr="002B5A4C" w14:paraId="51E678ED" w14:textId="77777777" w:rsidTr="002B5A4C">
        <w:trPr>
          <w:trHeight w:val="20"/>
        </w:trPr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F844B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301CB" w14:textId="39E4CC2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  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8ACB4" w14:textId="16BDB388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  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634DC" w14:textId="1703385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207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689A0" w14:textId="1403813F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207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CAB7AF" w14:textId="39273716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997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59873" w14:textId="0C4D9535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997 </w:t>
            </w:r>
          </w:p>
        </w:tc>
      </w:tr>
      <w:tr w:rsidR="002B5A4C" w:rsidRPr="002B5A4C" w14:paraId="35DEEB9D" w14:textId="77777777" w:rsidTr="002B5A4C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9ED66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189B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Paglas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DAEC7" w14:textId="5056E693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6D22B" w14:textId="58DF8AFC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BF92" w14:textId="1D6C6BE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18EF" w14:textId="232BE50F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5AF2" w14:textId="6507C174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D2C1" w14:textId="68D72C94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997 </w:t>
            </w:r>
          </w:p>
        </w:tc>
      </w:tr>
    </w:tbl>
    <w:p w14:paraId="69C9575C" w14:textId="77777777" w:rsidR="00A10801" w:rsidRPr="00087B58" w:rsidRDefault="00A10801" w:rsidP="00A10801">
      <w:pPr>
        <w:spacing w:after="0" w:line="240" w:lineRule="auto"/>
        <w:ind w:left="709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C295736" w14:textId="6E81D81D" w:rsidR="00A10801" w:rsidRDefault="00A10801" w:rsidP="00A108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064CCA5F" w14:textId="77777777" w:rsidR="002B5A4C" w:rsidRDefault="002B5A4C" w:rsidP="00A108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0EAA20D" w14:textId="1D90062F" w:rsidR="00A10801" w:rsidRDefault="00A10801" w:rsidP="00A1080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0328E650" w14:textId="6B9E5690" w:rsidR="00A10801" w:rsidRDefault="00A10801" w:rsidP="00A10801">
      <w:pPr>
        <w:pStyle w:val="ListParagraph"/>
        <w:spacing w:after="0" w:line="240" w:lineRule="auto"/>
        <w:ind w:left="79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A10801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Pr="00A1080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2B5A4C">
        <w:rPr>
          <w:rFonts w:ascii="Arial" w:eastAsia="Arial" w:hAnsi="Arial" w:cs="Arial"/>
          <w:b/>
          <w:color w:val="0070C0"/>
          <w:sz w:val="24"/>
          <w:szCs w:val="24"/>
        </w:rPr>
        <w:t>667</w:t>
      </w:r>
      <w:r w:rsidRPr="00A1080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10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0801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2B5A4C">
        <w:rPr>
          <w:rFonts w:ascii="Arial" w:eastAsia="Arial" w:hAnsi="Arial" w:cs="Arial"/>
          <w:b/>
          <w:color w:val="0070C0"/>
          <w:sz w:val="24"/>
          <w:szCs w:val="24"/>
        </w:rPr>
        <w:t>8</w:t>
      </w:r>
      <w:r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2B5A4C">
        <w:rPr>
          <w:rFonts w:ascii="Arial" w:eastAsia="Arial" w:hAnsi="Arial" w:cs="Arial"/>
          <w:b/>
          <w:color w:val="0070C0"/>
          <w:sz w:val="24"/>
          <w:szCs w:val="24"/>
        </w:rPr>
        <w:t>251</w:t>
      </w:r>
      <w:r w:rsidRPr="00A1080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10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0801">
        <w:rPr>
          <w:rFonts w:ascii="Arial" w:eastAsia="Arial" w:hAnsi="Arial" w:cs="Arial"/>
          <w:color w:val="auto"/>
          <w:sz w:val="24"/>
          <w:szCs w:val="24"/>
        </w:rPr>
        <w:t xml:space="preserve">currently taking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with their relatives and/or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freinds</w:t>
      </w:r>
      <w:proofErr w:type="spellEnd"/>
      <w:r w:rsidRPr="00A108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0801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CF0071">
        <w:rPr>
          <w:rFonts w:ascii="Arial" w:eastAsia="Arial" w:hAnsi="Arial" w:cs="Arial"/>
          <w:color w:val="auto"/>
          <w:sz w:val="24"/>
          <w:szCs w:val="24"/>
        </w:rPr>
        <w:t>3</w:t>
      </w:r>
      <w:r w:rsidRPr="00A1080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531835D9" w14:textId="77777777" w:rsidR="00A10801" w:rsidRPr="00A10801" w:rsidRDefault="00A10801" w:rsidP="00A10801">
      <w:pPr>
        <w:pStyle w:val="ListParagraph"/>
        <w:spacing w:after="0" w:line="240" w:lineRule="auto"/>
        <w:ind w:left="79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2D694CF" w14:textId="058A9C90" w:rsidR="00A10801" w:rsidRDefault="00A10801" w:rsidP="00A10801">
      <w:pPr>
        <w:pStyle w:val="ListParagraph"/>
        <w:spacing w:after="0" w:line="240" w:lineRule="auto"/>
        <w:ind w:left="791"/>
        <w:rPr>
          <w:rFonts w:ascii="Arial" w:eastAsia="Arial" w:hAnsi="Arial" w:cs="Arial"/>
          <w:b/>
          <w:i/>
          <w:color w:val="000000" w:themeColor="text1"/>
          <w:sz w:val="20"/>
          <w:szCs w:val="16"/>
        </w:rPr>
      </w:pPr>
      <w:r w:rsidRPr="00A10801">
        <w:rPr>
          <w:rFonts w:ascii="Arial" w:eastAsia="Arial" w:hAnsi="Arial" w:cs="Arial"/>
          <w:b/>
          <w:i/>
          <w:color w:val="000000" w:themeColor="text1"/>
          <w:sz w:val="20"/>
          <w:szCs w:val="16"/>
        </w:rPr>
        <w:t xml:space="preserve">Table </w:t>
      </w:r>
      <w:r w:rsidR="00CF0071">
        <w:rPr>
          <w:rFonts w:ascii="Arial" w:eastAsia="Arial" w:hAnsi="Arial" w:cs="Arial"/>
          <w:b/>
          <w:i/>
          <w:color w:val="000000" w:themeColor="text1"/>
          <w:sz w:val="20"/>
          <w:szCs w:val="16"/>
        </w:rPr>
        <w:t>3</w:t>
      </w:r>
      <w:r w:rsidRPr="00A10801">
        <w:rPr>
          <w:rFonts w:ascii="Arial" w:eastAsia="Arial" w:hAnsi="Arial" w:cs="Arial"/>
          <w:b/>
          <w:i/>
          <w:color w:val="000000" w:themeColor="text1"/>
          <w:sz w:val="20"/>
          <w:szCs w:val="16"/>
        </w:rPr>
        <w:t xml:space="preserve">. Number of Displaced Families / Persons </w:t>
      </w:r>
      <w:r>
        <w:rPr>
          <w:rFonts w:ascii="Arial" w:eastAsia="Arial" w:hAnsi="Arial" w:cs="Arial"/>
          <w:b/>
          <w:i/>
          <w:color w:val="000000" w:themeColor="text1"/>
          <w:sz w:val="20"/>
          <w:szCs w:val="16"/>
        </w:rPr>
        <w:t>Out</w:t>
      </w:r>
      <w:r w:rsidRPr="00A10801">
        <w:rPr>
          <w:rFonts w:ascii="Arial" w:eastAsia="Arial" w:hAnsi="Arial" w:cs="Arial"/>
          <w:b/>
          <w:i/>
          <w:color w:val="000000" w:themeColor="text1"/>
          <w:sz w:val="20"/>
          <w:szCs w:val="16"/>
        </w:rPr>
        <w:t>side Evacuation Center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282"/>
        <w:gridCol w:w="3957"/>
        <w:gridCol w:w="1162"/>
        <w:gridCol w:w="1165"/>
        <w:gridCol w:w="1163"/>
        <w:gridCol w:w="1163"/>
      </w:tblGrid>
      <w:tr w:rsidR="002B5A4C" w:rsidRPr="002B5A4C" w14:paraId="6685CE9B" w14:textId="77777777" w:rsidTr="002B5A4C">
        <w:trPr>
          <w:trHeight w:val="20"/>
          <w:tblHeader/>
        </w:trPr>
        <w:tc>
          <w:tcPr>
            <w:tcW w:w="23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CB776E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B18D47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B5A4C" w:rsidRPr="002B5A4C" w14:paraId="7AA90789" w14:textId="77777777" w:rsidTr="002B5A4C">
        <w:trPr>
          <w:trHeight w:val="20"/>
          <w:tblHeader/>
        </w:trPr>
        <w:tc>
          <w:tcPr>
            <w:tcW w:w="2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40D37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8BC8F4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B5A4C" w:rsidRPr="002B5A4C" w14:paraId="17F10E3F" w14:textId="77777777" w:rsidTr="002B5A4C">
        <w:trPr>
          <w:trHeight w:val="20"/>
          <w:tblHeader/>
        </w:trPr>
        <w:tc>
          <w:tcPr>
            <w:tcW w:w="2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31D3D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D57A69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C5F265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B5A4C" w:rsidRPr="002B5A4C" w14:paraId="69F28A2F" w14:textId="77777777" w:rsidTr="002B5A4C">
        <w:trPr>
          <w:trHeight w:val="20"/>
          <w:tblHeader/>
        </w:trPr>
        <w:tc>
          <w:tcPr>
            <w:tcW w:w="2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C3C9D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6E0F93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58719D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0B6D93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777C91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B5A4C" w:rsidRPr="002B5A4C" w14:paraId="3E667565" w14:textId="77777777" w:rsidTr="002B5A4C">
        <w:trPr>
          <w:trHeight w:val="20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D477A2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FE594B" w14:textId="66257D95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1,667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B46B1D" w14:textId="656D219B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1,667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7DFB59" w14:textId="26CEEFBB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8,251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204792" w14:textId="282FC63A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8,251 </w:t>
            </w:r>
          </w:p>
        </w:tc>
      </w:tr>
      <w:tr w:rsidR="002B5A4C" w:rsidRPr="002B5A4C" w14:paraId="27F91971" w14:textId="77777777" w:rsidTr="002B5A4C">
        <w:trPr>
          <w:trHeight w:val="20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B276DC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86C798" w14:textId="5B0E40D1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1,667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A3B476" w14:textId="321E1518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1,667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4EED14" w14:textId="203A074B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8,251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EA0CC7" w14:textId="7A4441B8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8,251 </w:t>
            </w:r>
          </w:p>
        </w:tc>
      </w:tr>
      <w:tr w:rsidR="002B5A4C" w:rsidRPr="002B5A4C" w14:paraId="4B2996FD" w14:textId="77777777" w:rsidTr="002B5A4C">
        <w:trPr>
          <w:trHeight w:val="20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1D427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49650" w14:textId="4C796150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1,667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7531A" w14:textId="687C2F4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1,667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BF6B2" w14:textId="3038CFEC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8,251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3D405" w14:textId="6155AFA8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8,251 </w:t>
            </w:r>
          </w:p>
        </w:tc>
      </w:tr>
      <w:tr w:rsidR="002B5A4C" w:rsidRPr="002B5A4C" w14:paraId="5C1AA9D0" w14:textId="77777777" w:rsidTr="002B5A4C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23337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8D83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Paglas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8ADD5" w14:textId="68C91E98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1,667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1BD04" w14:textId="39737E3F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1,667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0704" w14:textId="2B846F74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8,251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DFA5" w14:textId="142FD812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8,251 </w:t>
            </w:r>
          </w:p>
        </w:tc>
      </w:tr>
    </w:tbl>
    <w:p w14:paraId="1041249A" w14:textId="77777777" w:rsidR="00A10801" w:rsidRPr="00087B58" w:rsidRDefault="00A10801" w:rsidP="00A10801">
      <w:pPr>
        <w:spacing w:after="0" w:line="240" w:lineRule="auto"/>
        <w:ind w:left="709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2E25ED68" w14:textId="7A4123EC" w:rsidR="00A10801" w:rsidRDefault="00A10801" w:rsidP="00A108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300C1816" w14:textId="77777777" w:rsidR="002B5A4C" w:rsidRDefault="002B5A4C" w:rsidP="00A108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247DF73" w14:textId="5B04C780" w:rsidR="002B5A4C" w:rsidRDefault="002B5A4C" w:rsidP="002B5A4C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1666C97" w14:textId="3AE677FC" w:rsidR="002B5A4C" w:rsidRDefault="002B5A4C" w:rsidP="002B5A4C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2B5A4C">
        <w:rPr>
          <w:rFonts w:ascii="Arial" w:hAnsi="Arial" w:cs="Arial"/>
          <w:sz w:val="24"/>
          <w:szCs w:val="24"/>
        </w:rPr>
        <w:t xml:space="preserve">A total of </w:t>
      </w:r>
      <w:r w:rsidRPr="002B5A4C">
        <w:rPr>
          <w:rFonts w:ascii="Arial" w:hAnsi="Arial" w:cs="Arial"/>
          <w:b/>
          <w:bCs/>
          <w:color w:val="0070C0"/>
          <w:sz w:val="24"/>
          <w:szCs w:val="24"/>
        </w:rPr>
        <w:t>₱739,110.00</w:t>
      </w:r>
      <w:r w:rsidRPr="002B5A4C">
        <w:rPr>
          <w:rFonts w:ascii="Arial" w:hAnsi="Arial" w:cs="Arial"/>
          <w:color w:val="0070C0"/>
          <w:sz w:val="24"/>
          <w:szCs w:val="24"/>
        </w:rPr>
        <w:t xml:space="preserve"> </w:t>
      </w:r>
      <w:r w:rsidRPr="002B5A4C">
        <w:rPr>
          <w:rFonts w:ascii="Arial" w:hAnsi="Arial" w:cs="Arial"/>
          <w:sz w:val="24"/>
          <w:szCs w:val="24"/>
        </w:rPr>
        <w:t xml:space="preserve">worth of assistance was provided to the affected families; of which, </w:t>
      </w:r>
      <w:r w:rsidRPr="002B5A4C">
        <w:rPr>
          <w:rFonts w:ascii="Arial" w:hAnsi="Arial" w:cs="Arial"/>
          <w:b/>
          <w:bCs/>
          <w:color w:val="0070C0"/>
          <w:sz w:val="24"/>
          <w:szCs w:val="24"/>
        </w:rPr>
        <w:t>₱611,290.00</w:t>
      </w:r>
      <w:r w:rsidRPr="002B5A4C">
        <w:rPr>
          <w:rFonts w:ascii="Arial" w:hAnsi="Arial" w:cs="Arial"/>
          <w:color w:val="0070C0"/>
          <w:sz w:val="24"/>
          <w:szCs w:val="24"/>
        </w:rPr>
        <w:t xml:space="preserve"> </w:t>
      </w:r>
      <w:r w:rsidRPr="002B5A4C">
        <w:rPr>
          <w:rFonts w:ascii="Arial" w:hAnsi="Arial" w:cs="Arial"/>
          <w:sz w:val="24"/>
          <w:szCs w:val="24"/>
        </w:rPr>
        <w:t xml:space="preserve">from </w:t>
      </w:r>
      <w:r w:rsidRPr="002B5A4C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Pr="002B5A4C">
        <w:rPr>
          <w:rFonts w:ascii="Arial" w:hAnsi="Arial" w:cs="Arial"/>
          <w:sz w:val="24"/>
          <w:szCs w:val="24"/>
        </w:rPr>
        <w:t xml:space="preserve"> and </w:t>
      </w:r>
      <w:r w:rsidRPr="002B5A4C">
        <w:rPr>
          <w:rFonts w:ascii="Arial" w:hAnsi="Arial" w:cs="Arial"/>
          <w:b/>
          <w:bCs/>
          <w:color w:val="0070C0"/>
          <w:sz w:val="24"/>
          <w:szCs w:val="24"/>
        </w:rPr>
        <w:t xml:space="preserve">₱127,820.00 </w:t>
      </w:r>
      <w:r w:rsidRPr="002B5A4C">
        <w:rPr>
          <w:rFonts w:ascii="Arial" w:hAnsi="Arial" w:cs="Arial"/>
          <w:sz w:val="24"/>
          <w:szCs w:val="24"/>
        </w:rPr>
        <w:t xml:space="preserve">from </w:t>
      </w:r>
      <w:r w:rsidRPr="002B5A4C">
        <w:rPr>
          <w:rFonts w:ascii="Arial" w:hAnsi="Arial" w:cs="Arial"/>
          <w:b/>
          <w:bCs/>
          <w:color w:val="0070C0"/>
          <w:sz w:val="24"/>
          <w:szCs w:val="24"/>
        </w:rPr>
        <w:t>LGUs</w:t>
      </w:r>
      <w:r w:rsidRPr="002B5A4C">
        <w:rPr>
          <w:rFonts w:ascii="Arial" w:hAnsi="Arial" w:cs="Arial"/>
          <w:sz w:val="24"/>
          <w:szCs w:val="24"/>
        </w:rPr>
        <w:t xml:space="preserve"> (see Table </w:t>
      </w:r>
      <w:r>
        <w:rPr>
          <w:rFonts w:ascii="Arial" w:hAnsi="Arial" w:cs="Arial"/>
          <w:sz w:val="24"/>
          <w:szCs w:val="24"/>
        </w:rPr>
        <w:t>4</w:t>
      </w:r>
      <w:r w:rsidRPr="002B5A4C">
        <w:rPr>
          <w:rFonts w:ascii="Arial" w:hAnsi="Arial" w:cs="Arial"/>
          <w:sz w:val="24"/>
          <w:szCs w:val="24"/>
        </w:rPr>
        <w:t>).</w:t>
      </w:r>
    </w:p>
    <w:p w14:paraId="2C6FE3F1" w14:textId="5B887189" w:rsidR="002B5A4C" w:rsidRDefault="002B5A4C" w:rsidP="002B5A4C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1C787E92" w14:textId="7D2200AD" w:rsidR="002B5A4C" w:rsidRDefault="002B5A4C" w:rsidP="002B5A4C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B5A4C">
        <w:rPr>
          <w:rFonts w:ascii="Arial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2B5A4C">
        <w:rPr>
          <w:rFonts w:ascii="Arial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2813"/>
        <w:gridCol w:w="1384"/>
        <w:gridCol w:w="1384"/>
        <w:gridCol w:w="783"/>
        <w:gridCol w:w="1060"/>
        <w:gridCol w:w="1608"/>
      </w:tblGrid>
      <w:tr w:rsidR="002B5A4C" w:rsidRPr="002B5A4C" w14:paraId="5230EEBA" w14:textId="77777777" w:rsidTr="002B5A4C">
        <w:trPr>
          <w:trHeight w:val="20"/>
        </w:trPr>
        <w:tc>
          <w:tcPr>
            <w:tcW w:w="16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90AE46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7A9849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2B5A4C" w:rsidRPr="002B5A4C" w14:paraId="5DFBCDAF" w14:textId="77777777" w:rsidTr="002B5A4C">
        <w:trPr>
          <w:trHeight w:val="20"/>
        </w:trPr>
        <w:tc>
          <w:tcPr>
            <w:tcW w:w="16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3D70B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0D7EF7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CC8586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2B3D93" w14:textId="6F35B4D1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E5E65B" w14:textId="7A66B1A1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C2DC25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B5A4C" w:rsidRPr="002B5A4C" w14:paraId="52604F1C" w14:textId="77777777" w:rsidTr="002B5A4C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A151E5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0CF8F57" w14:textId="51B18642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611,290.00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5BACB94" w14:textId="00686721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127,820.00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A20D7D7" w14:textId="704F4B1F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9051C3C" w14:textId="4685090E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4190E6C" w14:textId="24E2532B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739,110.00 </w:t>
            </w:r>
          </w:p>
        </w:tc>
      </w:tr>
      <w:tr w:rsidR="002B5A4C" w:rsidRPr="002B5A4C" w14:paraId="674FE2C7" w14:textId="77777777" w:rsidTr="002B5A4C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C7C2FB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19000E9" w14:textId="549DE85E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611,290.00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C7FA96E" w14:textId="11AFBFF4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127,820.00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893E968" w14:textId="73E15925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D6E0BC7" w14:textId="27614E4F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1C6B8B2" w14:textId="199D693F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739,110.00 </w:t>
            </w:r>
          </w:p>
        </w:tc>
      </w:tr>
      <w:tr w:rsidR="002B5A4C" w:rsidRPr="002B5A4C" w14:paraId="71EDBA30" w14:textId="77777777" w:rsidTr="002B5A4C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BD7F6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758F93F" w14:textId="388631C9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611,290.00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B5EA98B" w14:textId="59A842AF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127,820.00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99B3A85" w14:textId="03B3F5CD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320F86D" w14:textId="2CF95B35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E74E08" w14:textId="69B23371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Pr="002B5A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739,110.00 </w:t>
            </w:r>
          </w:p>
        </w:tc>
      </w:tr>
      <w:tr w:rsidR="002B5A4C" w:rsidRPr="002B5A4C" w14:paraId="2C34FD2E" w14:textId="77777777" w:rsidTr="002B5A4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CB2B5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B5A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998E" w14:textId="77777777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Paglas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FA139" w14:textId="7CBA130B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611,290.00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8C9DF" w14:textId="193B977B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127,820.00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53265" w14:textId="2B176BDA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4A59" w14:textId="5894C018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00344" w14:textId="25937453" w:rsidR="002B5A4C" w:rsidRPr="002B5A4C" w:rsidRDefault="002B5A4C" w:rsidP="002B5A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</w:t>
            </w:r>
            <w:r w:rsidRPr="002B5A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739,110.00 </w:t>
            </w:r>
          </w:p>
        </w:tc>
      </w:tr>
    </w:tbl>
    <w:p w14:paraId="2CA8D9CE" w14:textId="7DC41AA7" w:rsidR="002B5A4C" w:rsidRPr="002B5A4C" w:rsidRDefault="002B5A4C" w:rsidP="002B5A4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2469BB16" w14:textId="7662007D" w:rsidR="00A10801" w:rsidRPr="00087B58" w:rsidRDefault="00A10801" w:rsidP="00A1080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B16C01A" w14:textId="49BC6207" w:rsidR="00785FDF" w:rsidRPr="00087B58" w:rsidRDefault="00785FDF" w:rsidP="00936B0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0105ACB9" w14:textId="305794F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2B875790" w:rsidR="003D0AEA" w:rsidRPr="009B28CF" w:rsidRDefault="00A10801" w:rsidP="00936B0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2B5A4C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="00D007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CF794B" w:rsidRPr="00955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CF794B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5F37E5" w:rsidR="003D0AEA" w:rsidRPr="009B28CF" w:rsidRDefault="003D0AEA" w:rsidP="00936B01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8D7AC3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7550C744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36B01">
        <w:rPr>
          <w:rFonts w:ascii="Arial" w:eastAsia="Arial" w:hAnsi="Arial" w:cs="Arial"/>
          <w:b/>
          <w:color w:val="auto"/>
          <w:sz w:val="24"/>
          <w:szCs w:val="24"/>
        </w:rPr>
        <w:t>X</w:t>
      </w:r>
      <w:r w:rsidR="008D7AC3">
        <w:rPr>
          <w:rFonts w:ascii="Arial" w:eastAsia="Arial" w:hAnsi="Arial" w:cs="Arial"/>
          <w:b/>
          <w:color w:val="auto"/>
          <w:sz w:val="24"/>
          <w:szCs w:val="24"/>
        </w:rPr>
        <w:t>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139AD806" w:rsidR="0095060C" w:rsidRPr="007B6F9E" w:rsidRDefault="00A10801" w:rsidP="00936B01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2B5A4C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</w:t>
            </w:r>
            <w:r w:rsidR="00936B01" w:rsidRPr="00955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99BE1" w14:textId="77777777" w:rsidR="00A10801" w:rsidRDefault="007A39BA" w:rsidP="00A10801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II is in close coordination with the local government </w:t>
            </w:r>
            <w:r w:rsidR="00936B01"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MSWDO of </w:t>
            </w:r>
            <w:proofErr w:type="spellStart"/>
            <w:r w:rsidR="00936B01"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>Datu</w:t>
            </w:r>
            <w:proofErr w:type="spellEnd"/>
            <w:r w:rsidR="00936B01"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936B01"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>Piang</w:t>
            </w:r>
            <w:proofErr w:type="spellEnd"/>
            <w:r w:rsidR="00936B01"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36B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for further augmentation support needed by the affected families. </w:t>
            </w:r>
          </w:p>
          <w:p w14:paraId="6ACA7937" w14:textId="77777777" w:rsidR="002B5A4C" w:rsidRDefault="00A10801" w:rsidP="002B5A4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10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XII-DRMD facilitated the request of the Local Government Unit of </w:t>
            </w:r>
            <w:proofErr w:type="spellStart"/>
            <w:r w:rsidRPr="00A10801">
              <w:rPr>
                <w:rFonts w:ascii="Arial" w:eastAsia="Arial" w:hAnsi="Arial" w:cs="Arial"/>
                <w:color w:val="0070C0"/>
                <w:sz w:val="20"/>
                <w:szCs w:val="20"/>
              </w:rPr>
              <w:t>Datu</w:t>
            </w:r>
            <w:proofErr w:type="spellEnd"/>
            <w:r w:rsidRPr="00A10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10801">
              <w:rPr>
                <w:rFonts w:ascii="Arial" w:eastAsia="Arial" w:hAnsi="Arial" w:cs="Arial"/>
                <w:color w:val="0070C0"/>
                <w:sz w:val="20"/>
                <w:szCs w:val="20"/>
              </w:rPr>
              <w:t>Paglas</w:t>
            </w:r>
            <w:proofErr w:type="spellEnd"/>
            <w:r w:rsidRPr="00A10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endorsed it to the Ministry of Social Services in BARMM.</w:t>
            </w:r>
          </w:p>
          <w:p w14:paraId="42FBA546" w14:textId="77777777" w:rsidR="00CE6094" w:rsidRDefault="002B5A4C" w:rsidP="00CE6094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B5A4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XII-DRMD released 20 family tents to LGU of </w:t>
            </w:r>
            <w:proofErr w:type="spellStart"/>
            <w:r w:rsidRPr="002B5A4C">
              <w:rPr>
                <w:rFonts w:ascii="Arial" w:eastAsia="Arial" w:hAnsi="Arial" w:cs="Arial"/>
                <w:color w:val="0070C0"/>
                <w:sz w:val="20"/>
                <w:szCs w:val="20"/>
              </w:rPr>
              <w:t>Datu</w:t>
            </w:r>
            <w:proofErr w:type="spellEnd"/>
            <w:r w:rsidRPr="002B5A4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B5A4C">
              <w:rPr>
                <w:rFonts w:ascii="Arial" w:eastAsia="Arial" w:hAnsi="Arial" w:cs="Arial"/>
                <w:color w:val="0070C0"/>
                <w:sz w:val="20"/>
                <w:szCs w:val="20"/>
              </w:rPr>
              <w:t>Paglas</w:t>
            </w:r>
            <w:proofErr w:type="spellEnd"/>
            <w:r w:rsidRPr="002B5A4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intended for the families affected by the armed conflict.</w:t>
            </w:r>
          </w:p>
          <w:p w14:paraId="2BDFEDAC" w14:textId="6BAF667C" w:rsidR="00CE6094" w:rsidRPr="00CE6094" w:rsidRDefault="00CE6094" w:rsidP="00CE6094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E609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XII-DRMD distributed 140 family food packs and 140 hygiene kits in </w:t>
            </w:r>
            <w:proofErr w:type="spellStart"/>
            <w:r w:rsidRPr="00CE6094">
              <w:rPr>
                <w:rFonts w:ascii="Arial" w:eastAsia="Arial" w:hAnsi="Arial" w:cs="Arial"/>
                <w:color w:val="0070C0"/>
                <w:sz w:val="20"/>
                <w:szCs w:val="20"/>
              </w:rPr>
              <w:t>Ml’ang</w:t>
            </w:r>
            <w:proofErr w:type="spellEnd"/>
            <w:r w:rsidRPr="00CE609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North Cotabato. The said assistance was provided to the displaced families from </w:t>
            </w:r>
            <w:proofErr w:type="spellStart"/>
            <w:r w:rsidRPr="00CE6094">
              <w:rPr>
                <w:rFonts w:ascii="Arial" w:eastAsia="Arial" w:hAnsi="Arial" w:cs="Arial"/>
                <w:color w:val="0070C0"/>
                <w:sz w:val="20"/>
                <w:szCs w:val="20"/>
              </w:rPr>
              <w:t>Datu</w:t>
            </w:r>
            <w:proofErr w:type="spellEnd"/>
            <w:r w:rsidRPr="00CE609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E6094">
              <w:rPr>
                <w:rFonts w:ascii="Arial" w:eastAsia="Arial" w:hAnsi="Arial" w:cs="Arial"/>
                <w:color w:val="0070C0"/>
                <w:sz w:val="20"/>
                <w:szCs w:val="20"/>
              </w:rPr>
              <w:t>Paglas</w:t>
            </w:r>
            <w:proofErr w:type="spellEnd"/>
            <w:r w:rsidRPr="00CE6094">
              <w:rPr>
                <w:rFonts w:ascii="Arial" w:eastAsia="Arial" w:hAnsi="Arial" w:cs="Arial"/>
                <w:color w:val="0070C0"/>
                <w:sz w:val="20"/>
                <w:szCs w:val="20"/>
              </w:rPr>
              <w:t>, Maguindanao.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6E649E1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36B0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8D7A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II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3806697" w:rsidR="00DF4AA2" w:rsidRDefault="000668E3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880893" w14:textId="2FF6FC0A" w:rsidR="00E821E2" w:rsidRDefault="002B5A4C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7A619D8" w14:textId="1FECA671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6233E9B6" w14:textId="3FD414B4" w:rsidR="00E60F04" w:rsidRDefault="00CE6094" w:rsidP="00BC38D8">
      <w:pPr>
        <w:rPr>
          <w:rFonts w:ascii="Arial" w:eastAsia="Arial" w:hAnsi="Arial" w:cs="Arial"/>
          <w:b/>
          <w:bCs/>
          <w:color w:val="002060"/>
          <w:sz w:val="28"/>
          <w:szCs w:val="28"/>
        </w:rPr>
      </w:pPr>
      <w:r w:rsidRPr="00CE6094">
        <w:rPr>
          <w:rFonts w:ascii="Arial" w:eastAsia="Arial" w:hAnsi="Arial" w:cs="Arial"/>
          <w:b/>
          <w:bCs/>
          <w:color w:val="002060"/>
          <w:sz w:val="28"/>
          <w:szCs w:val="28"/>
        </w:rPr>
        <w:lastRenderedPageBreak/>
        <w:t>PHOTO DOCUMENTATION</w:t>
      </w:r>
    </w:p>
    <w:p w14:paraId="462B15E2" w14:textId="47B5F8A3" w:rsidR="00EE21AD" w:rsidRPr="00CE6094" w:rsidRDefault="00EE21AD" w:rsidP="00BC38D8">
      <w:pPr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color w:val="002060"/>
          <w:sz w:val="28"/>
          <w:szCs w:val="28"/>
        </w:rPr>
        <w:drawing>
          <wp:inline distT="0" distB="0" distL="0" distR="0" wp14:anchorId="2B106965" wp14:editId="2A64A40D">
            <wp:extent cx="6189345" cy="46418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1AD" w:rsidRPr="00CE6094" w:rsidSect="00B520AF">
      <w:headerReference w:type="default" r:id="rId9"/>
      <w:footerReference w:type="default" r:id="rId10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7B21" w14:textId="77777777" w:rsidR="006927DE" w:rsidRDefault="006927DE">
      <w:pPr>
        <w:spacing w:after="0" w:line="240" w:lineRule="auto"/>
      </w:pPr>
      <w:r>
        <w:separator/>
      </w:r>
    </w:p>
  </w:endnote>
  <w:endnote w:type="continuationSeparator" w:id="0">
    <w:p w14:paraId="098562E3" w14:textId="77777777" w:rsidR="006927DE" w:rsidRDefault="0069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74A334DE" w:rsidR="00470FE4" w:rsidRPr="00785FDF" w:rsidRDefault="00FC54C7" w:rsidP="00936B0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2"/>
        <w:szCs w:val="14"/>
      </w:rPr>
    </w:pPr>
    <w:r w:rsidRPr="00785FDF">
      <w:rPr>
        <w:rFonts w:ascii="Arial" w:hAnsi="Arial" w:cs="Arial"/>
        <w:sz w:val="12"/>
        <w:szCs w:val="14"/>
      </w:rPr>
      <w:t xml:space="preserve">Page </w:t>
    </w:r>
    <w:r w:rsidRPr="00785FDF">
      <w:rPr>
        <w:rFonts w:ascii="Arial" w:hAnsi="Arial" w:cs="Arial"/>
        <w:b/>
        <w:sz w:val="12"/>
        <w:szCs w:val="14"/>
      </w:rPr>
      <w:fldChar w:fldCharType="begin"/>
    </w:r>
    <w:r w:rsidRPr="00785FDF">
      <w:rPr>
        <w:rFonts w:ascii="Arial" w:hAnsi="Arial" w:cs="Arial"/>
        <w:b/>
        <w:sz w:val="12"/>
        <w:szCs w:val="14"/>
      </w:rPr>
      <w:instrText>PAGE</w:instrText>
    </w:r>
    <w:r w:rsidRPr="00785FDF">
      <w:rPr>
        <w:rFonts w:ascii="Arial" w:hAnsi="Arial" w:cs="Arial"/>
        <w:b/>
        <w:sz w:val="12"/>
        <w:szCs w:val="14"/>
      </w:rPr>
      <w:fldChar w:fldCharType="separate"/>
    </w:r>
    <w:r w:rsidR="00CF0071">
      <w:rPr>
        <w:rFonts w:ascii="Arial" w:hAnsi="Arial" w:cs="Arial"/>
        <w:b/>
        <w:noProof/>
        <w:sz w:val="12"/>
        <w:szCs w:val="14"/>
      </w:rPr>
      <w:t>2</w:t>
    </w:r>
    <w:r w:rsidRPr="00785FDF">
      <w:rPr>
        <w:rFonts w:ascii="Arial" w:hAnsi="Arial" w:cs="Arial"/>
        <w:b/>
        <w:sz w:val="12"/>
        <w:szCs w:val="14"/>
      </w:rPr>
      <w:fldChar w:fldCharType="end"/>
    </w:r>
    <w:r w:rsidRPr="00785FDF">
      <w:rPr>
        <w:rFonts w:ascii="Arial" w:hAnsi="Arial" w:cs="Arial"/>
        <w:sz w:val="12"/>
        <w:szCs w:val="14"/>
      </w:rPr>
      <w:t xml:space="preserve"> of </w:t>
    </w:r>
    <w:r w:rsidRPr="00785FDF">
      <w:rPr>
        <w:rFonts w:ascii="Arial" w:hAnsi="Arial" w:cs="Arial"/>
        <w:b/>
        <w:sz w:val="12"/>
        <w:szCs w:val="14"/>
      </w:rPr>
      <w:fldChar w:fldCharType="begin"/>
    </w:r>
    <w:r w:rsidRPr="00785FDF">
      <w:rPr>
        <w:rFonts w:ascii="Arial" w:hAnsi="Arial" w:cs="Arial"/>
        <w:b/>
        <w:sz w:val="12"/>
        <w:szCs w:val="14"/>
      </w:rPr>
      <w:instrText>NUMPAGES</w:instrText>
    </w:r>
    <w:r w:rsidRPr="00785FDF">
      <w:rPr>
        <w:rFonts w:ascii="Arial" w:hAnsi="Arial" w:cs="Arial"/>
        <w:b/>
        <w:sz w:val="12"/>
        <w:szCs w:val="14"/>
      </w:rPr>
      <w:fldChar w:fldCharType="separate"/>
    </w:r>
    <w:r w:rsidR="00CF0071">
      <w:rPr>
        <w:rFonts w:ascii="Arial" w:hAnsi="Arial" w:cs="Arial"/>
        <w:b/>
        <w:noProof/>
        <w:sz w:val="12"/>
        <w:szCs w:val="14"/>
      </w:rPr>
      <w:t>2</w:t>
    </w:r>
    <w:r w:rsidRPr="00785FDF">
      <w:rPr>
        <w:rFonts w:ascii="Arial" w:hAnsi="Arial" w:cs="Arial"/>
        <w:b/>
        <w:sz w:val="12"/>
        <w:szCs w:val="14"/>
      </w:rPr>
      <w:fldChar w:fldCharType="end"/>
    </w:r>
    <w:r w:rsidR="000C01AD" w:rsidRPr="00785FDF">
      <w:rPr>
        <w:rFonts w:ascii="Arial" w:hAnsi="Arial" w:cs="Arial"/>
        <w:b/>
        <w:sz w:val="12"/>
        <w:szCs w:val="14"/>
      </w:rPr>
      <w:t xml:space="preserve"> </w:t>
    </w:r>
    <w:r w:rsidRPr="00785FDF">
      <w:rPr>
        <w:rFonts w:ascii="Arial" w:hAnsi="Arial" w:cs="Arial"/>
        <w:sz w:val="12"/>
        <w:szCs w:val="14"/>
      </w:rPr>
      <w:t>|</w:t>
    </w:r>
    <w:r w:rsidR="003712FF" w:rsidRPr="00785FDF">
      <w:rPr>
        <w:rFonts w:ascii="Arial" w:hAnsi="Arial" w:cs="Arial"/>
        <w:sz w:val="12"/>
        <w:szCs w:val="14"/>
      </w:rPr>
      <w:t xml:space="preserve"> </w:t>
    </w:r>
    <w:r w:rsidR="00936B01" w:rsidRPr="00936B01">
      <w:rPr>
        <w:rFonts w:ascii="Arial" w:hAnsi="Arial" w:cs="Arial"/>
        <w:sz w:val="12"/>
        <w:szCs w:val="14"/>
      </w:rPr>
      <w:t>DSWD DROMIC Report #</w:t>
    </w:r>
    <w:r w:rsidR="002B5A4C">
      <w:rPr>
        <w:rFonts w:ascii="Arial" w:hAnsi="Arial" w:cs="Arial"/>
        <w:sz w:val="12"/>
        <w:szCs w:val="14"/>
      </w:rPr>
      <w:t>3</w:t>
    </w:r>
    <w:r w:rsidR="00936B01" w:rsidRPr="00936B01">
      <w:rPr>
        <w:rFonts w:ascii="Arial" w:hAnsi="Arial" w:cs="Arial"/>
        <w:sz w:val="12"/>
        <w:szCs w:val="14"/>
      </w:rPr>
      <w:t xml:space="preserve"> on the Displacement due to Armed Confl</w:t>
    </w:r>
    <w:r w:rsidR="00936B01">
      <w:rPr>
        <w:rFonts w:ascii="Arial" w:hAnsi="Arial" w:cs="Arial"/>
        <w:sz w:val="12"/>
        <w:szCs w:val="14"/>
      </w:rPr>
      <w:t xml:space="preserve">ict in </w:t>
    </w:r>
    <w:proofErr w:type="spellStart"/>
    <w:r w:rsidR="00936B01">
      <w:rPr>
        <w:rFonts w:ascii="Arial" w:hAnsi="Arial" w:cs="Arial"/>
        <w:sz w:val="12"/>
        <w:szCs w:val="14"/>
      </w:rPr>
      <w:t>Datu</w:t>
    </w:r>
    <w:proofErr w:type="spellEnd"/>
    <w:r w:rsidR="00936B01">
      <w:rPr>
        <w:rFonts w:ascii="Arial" w:hAnsi="Arial" w:cs="Arial"/>
        <w:sz w:val="12"/>
        <w:szCs w:val="14"/>
      </w:rPr>
      <w:t xml:space="preserve"> </w:t>
    </w:r>
    <w:proofErr w:type="spellStart"/>
    <w:r w:rsidR="00936B01">
      <w:rPr>
        <w:rFonts w:ascii="Arial" w:hAnsi="Arial" w:cs="Arial"/>
        <w:sz w:val="12"/>
        <w:szCs w:val="14"/>
      </w:rPr>
      <w:t>Paglas</w:t>
    </w:r>
    <w:proofErr w:type="spellEnd"/>
    <w:r w:rsidR="00936B01">
      <w:rPr>
        <w:rFonts w:ascii="Arial" w:hAnsi="Arial" w:cs="Arial"/>
        <w:sz w:val="12"/>
        <w:szCs w:val="14"/>
      </w:rPr>
      <w:t xml:space="preserve">, Maguindanao </w:t>
    </w:r>
    <w:r w:rsidR="00936B01" w:rsidRPr="00936B01">
      <w:rPr>
        <w:rFonts w:ascii="Arial" w:hAnsi="Arial" w:cs="Arial"/>
        <w:sz w:val="12"/>
        <w:szCs w:val="14"/>
      </w:rPr>
      <w:t xml:space="preserve">as of </w:t>
    </w:r>
    <w:r w:rsidR="00A10801">
      <w:rPr>
        <w:rFonts w:ascii="Arial" w:hAnsi="Arial" w:cs="Arial"/>
        <w:sz w:val="12"/>
        <w:szCs w:val="14"/>
      </w:rPr>
      <w:t>1</w:t>
    </w:r>
    <w:r w:rsidR="002B5A4C">
      <w:rPr>
        <w:rFonts w:ascii="Arial" w:hAnsi="Arial" w:cs="Arial"/>
        <w:sz w:val="12"/>
        <w:szCs w:val="14"/>
      </w:rPr>
      <w:t>9</w:t>
    </w:r>
    <w:r w:rsidR="00936B01" w:rsidRPr="00936B01">
      <w:rPr>
        <w:rFonts w:ascii="Arial" w:hAnsi="Arial" w:cs="Arial"/>
        <w:sz w:val="12"/>
        <w:szCs w:val="14"/>
      </w:rPr>
      <w:t xml:space="preserve"> May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E787" w14:textId="77777777" w:rsidR="006927DE" w:rsidRDefault="006927DE">
      <w:pPr>
        <w:spacing w:after="0" w:line="240" w:lineRule="auto"/>
      </w:pPr>
      <w:r>
        <w:separator/>
      </w:r>
    </w:p>
  </w:footnote>
  <w:footnote w:type="continuationSeparator" w:id="0">
    <w:p w14:paraId="76FA0713" w14:textId="77777777" w:rsidR="006927DE" w:rsidRDefault="0069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46FE"/>
    <w:multiLevelType w:val="hybridMultilevel"/>
    <w:tmpl w:val="8048A7BA"/>
    <w:lvl w:ilvl="0" w:tplc="F2F8C28C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457520D"/>
    <w:multiLevelType w:val="hybridMultilevel"/>
    <w:tmpl w:val="958EE540"/>
    <w:lvl w:ilvl="0" w:tplc="F2F8C28C">
      <w:start w:val="1"/>
      <w:numFmt w:val="lowerLetter"/>
      <w:lvlText w:val="%1."/>
      <w:lvlJc w:val="left"/>
      <w:pPr>
        <w:ind w:left="791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11" w:hanging="360"/>
      </w:pPr>
    </w:lvl>
    <w:lvl w:ilvl="2" w:tplc="3409001B" w:tentative="1">
      <w:start w:val="1"/>
      <w:numFmt w:val="lowerRoman"/>
      <w:lvlText w:val="%3."/>
      <w:lvlJc w:val="right"/>
      <w:pPr>
        <w:ind w:left="2231" w:hanging="180"/>
      </w:pPr>
    </w:lvl>
    <w:lvl w:ilvl="3" w:tplc="3409000F" w:tentative="1">
      <w:start w:val="1"/>
      <w:numFmt w:val="decimal"/>
      <w:lvlText w:val="%4."/>
      <w:lvlJc w:val="left"/>
      <w:pPr>
        <w:ind w:left="2951" w:hanging="360"/>
      </w:pPr>
    </w:lvl>
    <w:lvl w:ilvl="4" w:tplc="34090019" w:tentative="1">
      <w:start w:val="1"/>
      <w:numFmt w:val="lowerLetter"/>
      <w:lvlText w:val="%5."/>
      <w:lvlJc w:val="left"/>
      <w:pPr>
        <w:ind w:left="3671" w:hanging="360"/>
      </w:pPr>
    </w:lvl>
    <w:lvl w:ilvl="5" w:tplc="3409001B" w:tentative="1">
      <w:start w:val="1"/>
      <w:numFmt w:val="lowerRoman"/>
      <w:lvlText w:val="%6."/>
      <w:lvlJc w:val="right"/>
      <w:pPr>
        <w:ind w:left="4391" w:hanging="180"/>
      </w:pPr>
    </w:lvl>
    <w:lvl w:ilvl="6" w:tplc="3409000F" w:tentative="1">
      <w:start w:val="1"/>
      <w:numFmt w:val="decimal"/>
      <w:lvlText w:val="%7."/>
      <w:lvlJc w:val="left"/>
      <w:pPr>
        <w:ind w:left="5111" w:hanging="360"/>
      </w:pPr>
    </w:lvl>
    <w:lvl w:ilvl="7" w:tplc="34090019" w:tentative="1">
      <w:start w:val="1"/>
      <w:numFmt w:val="lowerLetter"/>
      <w:lvlText w:val="%8."/>
      <w:lvlJc w:val="left"/>
      <w:pPr>
        <w:ind w:left="5831" w:hanging="360"/>
      </w:pPr>
    </w:lvl>
    <w:lvl w:ilvl="8" w:tplc="3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01BAC"/>
    <w:multiLevelType w:val="hybridMultilevel"/>
    <w:tmpl w:val="474A3982"/>
    <w:lvl w:ilvl="0" w:tplc="ABBA75A2">
      <w:start w:val="1"/>
      <w:numFmt w:val="lowerLetter"/>
      <w:lvlText w:val="%1."/>
      <w:lvlJc w:val="left"/>
      <w:pPr>
        <w:ind w:left="791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11" w:hanging="360"/>
      </w:pPr>
    </w:lvl>
    <w:lvl w:ilvl="2" w:tplc="3409001B" w:tentative="1">
      <w:start w:val="1"/>
      <w:numFmt w:val="lowerRoman"/>
      <w:lvlText w:val="%3."/>
      <w:lvlJc w:val="right"/>
      <w:pPr>
        <w:ind w:left="2231" w:hanging="180"/>
      </w:pPr>
    </w:lvl>
    <w:lvl w:ilvl="3" w:tplc="3409000F" w:tentative="1">
      <w:start w:val="1"/>
      <w:numFmt w:val="decimal"/>
      <w:lvlText w:val="%4."/>
      <w:lvlJc w:val="left"/>
      <w:pPr>
        <w:ind w:left="2951" w:hanging="360"/>
      </w:pPr>
    </w:lvl>
    <w:lvl w:ilvl="4" w:tplc="34090019" w:tentative="1">
      <w:start w:val="1"/>
      <w:numFmt w:val="lowerLetter"/>
      <w:lvlText w:val="%5."/>
      <w:lvlJc w:val="left"/>
      <w:pPr>
        <w:ind w:left="3671" w:hanging="360"/>
      </w:pPr>
    </w:lvl>
    <w:lvl w:ilvl="5" w:tplc="3409001B" w:tentative="1">
      <w:start w:val="1"/>
      <w:numFmt w:val="lowerRoman"/>
      <w:lvlText w:val="%6."/>
      <w:lvlJc w:val="right"/>
      <w:pPr>
        <w:ind w:left="4391" w:hanging="180"/>
      </w:pPr>
    </w:lvl>
    <w:lvl w:ilvl="6" w:tplc="3409000F" w:tentative="1">
      <w:start w:val="1"/>
      <w:numFmt w:val="decimal"/>
      <w:lvlText w:val="%7."/>
      <w:lvlJc w:val="left"/>
      <w:pPr>
        <w:ind w:left="5111" w:hanging="360"/>
      </w:pPr>
    </w:lvl>
    <w:lvl w:ilvl="7" w:tplc="34090019" w:tentative="1">
      <w:start w:val="1"/>
      <w:numFmt w:val="lowerLetter"/>
      <w:lvlText w:val="%8."/>
      <w:lvlJc w:val="left"/>
      <w:pPr>
        <w:ind w:left="5831" w:hanging="360"/>
      </w:pPr>
    </w:lvl>
    <w:lvl w:ilvl="8" w:tplc="3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24"/>
  </w:num>
  <w:num w:numId="3">
    <w:abstractNumId w:val="17"/>
  </w:num>
  <w:num w:numId="4">
    <w:abstractNumId w:val="13"/>
  </w:num>
  <w:num w:numId="5">
    <w:abstractNumId w:val="10"/>
  </w:num>
  <w:num w:numId="6">
    <w:abstractNumId w:val="23"/>
  </w:num>
  <w:num w:numId="7">
    <w:abstractNumId w:val="22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3"/>
  </w:num>
  <w:num w:numId="16">
    <w:abstractNumId w:val="19"/>
  </w:num>
  <w:num w:numId="17">
    <w:abstractNumId w:val="9"/>
  </w:num>
  <w:num w:numId="18">
    <w:abstractNumId w:val="2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0"/>
  </w:num>
  <w:num w:numId="23">
    <w:abstractNumId w:val="14"/>
  </w:num>
  <w:num w:numId="24">
    <w:abstractNumId w:val="5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668E3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02B1"/>
    <w:rsid w:val="002B3A28"/>
    <w:rsid w:val="002B5A4C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3E09"/>
    <w:rsid w:val="00374F39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927DE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85FDF"/>
    <w:rsid w:val="00792BB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2C70"/>
    <w:rsid w:val="008B44A7"/>
    <w:rsid w:val="008C4054"/>
    <w:rsid w:val="008D156C"/>
    <w:rsid w:val="008D47B8"/>
    <w:rsid w:val="008D7AC3"/>
    <w:rsid w:val="009120BA"/>
    <w:rsid w:val="009246DE"/>
    <w:rsid w:val="00930B8F"/>
    <w:rsid w:val="009363AB"/>
    <w:rsid w:val="00936B01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080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38D8"/>
    <w:rsid w:val="00BD685F"/>
    <w:rsid w:val="00BF446F"/>
    <w:rsid w:val="00BF5B14"/>
    <w:rsid w:val="00C025E9"/>
    <w:rsid w:val="00C068E1"/>
    <w:rsid w:val="00C06C95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0994"/>
    <w:rsid w:val="00CC3453"/>
    <w:rsid w:val="00CD7DE8"/>
    <w:rsid w:val="00CE07C6"/>
    <w:rsid w:val="00CE12A3"/>
    <w:rsid w:val="00CE6094"/>
    <w:rsid w:val="00CF0071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851C9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21AD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77754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69EB-0DFA-469B-BB77-90065CFD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Ryzen 5</cp:lastModifiedBy>
  <cp:revision>3</cp:revision>
  <dcterms:created xsi:type="dcterms:W3CDTF">2021-05-19T06:24:00Z</dcterms:created>
  <dcterms:modified xsi:type="dcterms:W3CDTF">2021-05-19T06:51:00Z</dcterms:modified>
</cp:coreProperties>
</file>