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F3C2" w14:textId="7C3DC018" w:rsidR="00665FE8" w:rsidRPr="00DC3632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 Report #</w:t>
      </w:r>
      <w:r w:rsidR="004B00C6">
        <w:rPr>
          <w:rFonts w:ascii="Arial" w:eastAsia="Arial" w:hAnsi="Arial" w:cs="Arial"/>
          <w:b/>
          <w:sz w:val="32"/>
          <w:szCs w:val="32"/>
        </w:rPr>
        <w:t>3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DC3632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298A36E" w14:textId="77777777" w:rsidR="007A3957" w:rsidRPr="00DC3632" w:rsidRDefault="007A3957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C3632">
        <w:rPr>
          <w:rFonts w:ascii="Arial" w:eastAsia="Arial" w:hAnsi="Arial" w:cs="Arial"/>
          <w:b/>
          <w:sz w:val="32"/>
          <w:szCs w:val="32"/>
        </w:rPr>
        <w:t>Brgy. Tibungco, Bunawan, Davao City</w:t>
      </w:r>
    </w:p>
    <w:p w14:paraId="14BF7CE8" w14:textId="0EEFA2EA" w:rsidR="00F35CDA" w:rsidRPr="00DC3632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4B00C6">
        <w:rPr>
          <w:rFonts w:ascii="Arial" w:eastAsia="Arial" w:hAnsi="Arial" w:cs="Arial"/>
          <w:sz w:val="24"/>
          <w:szCs w:val="24"/>
        </w:rPr>
        <w:t>12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May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68A7370D" w:rsidR="004F7D06" w:rsidRPr="00DC3632" w:rsidRDefault="00844816" w:rsidP="007A39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 xml:space="preserve">On </w:t>
      </w:r>
      <w:r w:rsidR="007A3957" w:rsidRPr="00DC3632">
        <w:rPr>
          <w:rFonts w:ascii="Arial" w:eastAsia="Arial" w:hAnsi="Arial" w:cs="Arial"/>
          <w:sz w:val="24"/>
          <w:szCs w:val="24"/>
        </w:rPr>
        <w:t>05 May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at </w:t>
      </w:r>
      <w:r w:rsidR="007A3957" w:rsidRPr="00DC3632">
        <w:rPr>
          <w:rFonts w:ascii="Arial" w:eastAsia="Arial" w:hAnsi="Arial" w:cs="Arial"/>
          <w:sz w:val="24"/>
          <w:szCs w:val="24"/>
        </w:rPr>
        <w:t>11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DC3632">
        <w:rPr>
          <w:rFonts w:ascii="Arial" w:eastAsia="Arial" w:hAnsi="Arial" w:cs="Arial"/>
          <w:sz w:val="24"/>
          <w:szCs w:val="24"/>
        </w:rPr>
        <w:t>P</w:t>
      </w:r>
      <w:r w:rsidR="000271BD" w:rsidRPr="00DC3632">
        <w:rPr>
          <w:rFonts w:ascii="Arial" w:eastAsia="Arial" w:hAnsi="Arial" w:cs="Arial"/>
          <w:sz w:val="24"/>
          <w:szCs w:val="24"/>
        </w:rPr>
        <w:t>M</w:t>
      </w:r>
      <w:r w:rsidR="004F7D06" w:rsidRPr="00DC3632">
        <w:rPr>
          <w:rFonts w:ascii="Arial" w:eastAsia="Arial" w:hAnsi="Arial" w:cs="Arial"/>
          <w:sz w:val="24"/>
          <w:szCs w:val="24"/>
        </w:rPr>
        <w:t>,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incident occurred </w:t>
      </w:r>
      <w:r w:rsidRPr="00DC3632">
        <w:rPr>
          <w:rFonts w:ascii="Arial" w:eastAsia="Arial" w:hAnsi="Arial" w:cs="Arial"/>
          <w:sz w:val="24"/>
          <w:szCs w:val="24"/>
        </w:rPr>
        <w:t xml:space="preserve">in </w:t>
      </w:r>
      <w:r w:rsidR="007A3957" w:rsidRPr="00DC3632">
        <w:rPr>
          <w:rFonts w:ascii="Arial" w:eastAsia="Arial" w:hAnsi="Arial" w:cs="Arial"/>
          <w:sz w:val="24"/>
          <w:szCs w:val="24"/>
        </w:rPr>
        <w:t>Purok 13, Brgy. Tibungco, Bunawan District, Davao City</w:t>
      </w:r>
      <w:r w:rsidR="00CE2419" w:rsidRPr="00DC3632">
        <w:rPr>
          <w:rFonts w:ascii="Arial" w:eastAsia="Arial" w:hAnsi="Arial" w:cs="Arial"/>
          <w:sz w:val="24"/>
          <w:szCs w:val="24"/>
        </w:rPr>
        <w:t>.</w:t>
      </w:r>
      <w:r w:rsidR="007A3957" w:rsidRPr="00DC3632">
        <w:rPr>
          <w:rFonts w:ascii="Arial" w:eastAsia="Arial" w:hAnsi="Arial" w:cs="Arial"/>
          <w:sz w:val="24"/>
          <w:szCs w:val="24"/>
        </w:rPr>
        <w:t xml:space="preserve"> The fire was declared out o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n </w:t>
      </w:r>
      <w:r w:rsidR="007A3957" w:rsidRPr="00DC3632">
        <w:rPr>
          <w:rFonts w:ascii="Arial" w:eastAsia="Arial" w:hAnsi="Arial" w:cs="Arial"/>
          <w:sz w:val="24"/>
          <w:szCs w:val="24"/>
        </w:rPr>
        <w:t>06 May 2021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 at 2 AM</w:t>
      </w:r>
      <w:r w:rsidR="002964AD" w:rsidRPr="00DC3632">
        <w:rPr>
          <w:rFonts w:ascii="Arial" w:eastAsia="Arial" w:hAnsi="Arial" w:cs="Arial"/>
          <w:sz w:val="24"/>
          <w:szCs w:val="24"/>
        </w:rPr>
        <w:t>.</w:t>
      </w:r>
    </w:p>
    <w:p w14:paraId="3576A33C" w14:textId="36E770FF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E2419" w:rsidRPr="00DC3632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151B38A" w:rsidR="000146D5" w:rsidRPr="004B00C6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eastAsia="Arial" w:hAnsi="Arial" w:cs="Arial"/>
          <w:sz w:val="24"/>
          <w:szCs w:val="24"/>
        </w:rPr>
        <w:t>A total of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8D1DEC" w:rsidRPr="004B00C6">
        <w:rPr>
          <w:rFonts w:ascii="Arial" w:eastAsia="Arial" w:hAnsi="Arial" w:cs="Arial"/>
          <w:b/>
          <w:sz w:val="24"/>
          <w:szCs w:val="24"/>
        </w:rPr>
        <w:t>236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sz w:val="24"/>
          <w:szCs w:val="24"/>
        </w:rPr>
        <w:t>or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8D1DEC" w:rsidRPr="004B00C6">
        <w:rPr>
          <w:rFonts w:ascii="Arial" w:eastAsia="Arial" w:hAnsi="Arial" w:cs="Arial"/>
          <w:b/>
          <w:sz w:val="24"/>
          <w:szCs w:val="24"/>
        </w:rPr>
        <w:t>1,180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00C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B00C6">
        <w:rPr>
          <w:rFonts w:ascii="Arial" w:eastAsia="Arial" w:hAnsi="Arial" w:cs="Arial"/>
          <w:sz w:val="24"/>
          <w:szCs w:val="24"/>
        </w:rPr>
        <w:t>were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sz w:val="24"/>
          <w:szCs w:val="24"/>
        </w:rPr>
        <w:t>affected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00C6">
        <w:rPr>
          <w:rFonts w:ascii="Arial" w:eastAsia="Arial" w:hAnsi="Arial" w:cs="Arial"/>
          <w:sz w:val="24"/>
          <w:szCs w:val="24"/>
        </w:rPr>
        <w:t>by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00C6">
        <w:rPr>
          <w:rFonts w:ascii="Arial" w:eastAsia="Arial" w:hAnsi="Arial" w:cs="Arial"/>
          <w:sz w:val="24"/>
          <w:szCs w:val="24"/>
        </w:rPr>
        <w:t>the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00C6">
        <w:rPr>
          <w:rFonts w:ascii="Arial" w:eastAsia="Arial" w:hAnsi="Arial" w:cs="Arial"/>
          <w:sz w:val="24"/>
          <w:szCs w:val="24"/>
        </w:rPr>
        <w:t>fire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B00C6">
        <w:rPr>
          <w:rFonts w:ascii="Arial" w:eastAsia="Arial" w:hAnsi="Arial" w:cs="Arial"/>
          <w:sz w:val="24"/>
          <w:szCs w:val="24"/>
        </w:rPr>
        <w:t>incident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sz w:val="24"/>
          <w:szCs w:val="24"/>
        </w:rPr>
        <w:t>in</w:t>
      </w:r>
      <w:r w:rsidR="0003076A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Brgy. Tibungco, Bunawan District, Davao City </w:t>
      </w:r>
      <w:r w:rsidR="000146D5" w:rsidRPr="004B00C6">
        <w:rPr>
          <w:rFonts w:ascii="Arial" w:eastAsia="Arial" w:hAnsi="Arial" w:cs="Arial"/>
          <w:sz w:val="24"/>
          <w:szCs w:val="24"/>
        </w:rPr>
        <w:t>(see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sz w:val="24"/>
          <w:szCs w:val="24"/>
        </w:rPr>
        <w:t>Table</w:t>
      </w:r>
      <w:r w:rsidR="0003076A" w:rsidRPr="004B00C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B00C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9"/>
        <w:gridCol w:w="1915"/>
        <w:gridCol w:w="1257"/>
        <w:gridCol w:w="1260"/>
      </w:tblGrid>
      <w:tr w:rsidR="008D1DEC" w:rsidRPr="008D1DEC" w14:paraId="22AE6103" w14:textId="77777777" w:rsidTr="008D1DEC">
        <w:trPr>
          <w:trHeight w:val="20"/>
        </w:trPr>
        <w:tc>
          <w:tcPr>
            <w:tcW w:w="2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774CC1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C83BE4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1DEC" w:rsidRPr="008D1DEC" w14:paraId="327C6003" w14:textId="77777777" w:rsidTr="008D1DEC">
        <w:trPr>
          <w:trHeight w:val="20"/>
        </w:trPr>
        <w:tc>
          <w:tcPr>
            <w:tcW w:w="2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0F6D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918AC3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851D3A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F285E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1DEC" w:rsidRPr="008D1DEC" w14:paraId="42A03F3C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4E7DC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FD378" w14:textId="2ED1092E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04F53" w14:textId="797EF7C9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00DDA" w14:textId="6EE0DBC8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32C62DD7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A6AEE0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F8531" w14:textId="6B8C8995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57D06" w14:textId="393F5EE7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A08F4" w14:textId="5293D9E6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02CCD7A1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6998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4D9E9" w14:textId="0DE5EF9F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8BCDA" w14:textId="3D37733F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1BEAD" w14:textId="1B4E0230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1C27D880" w14:textId="77777777" w:rsidTr="008D1DE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FABB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971A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8FA3" w14:textId="5228D691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2A8C" w14:textId="49F6949B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F788" w14:textId="5A9FC181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1,180 </w:t>
            </w:r>
          </w:p>
        </w:tc>
      </w:tr>
    </w:tbl>
    <w:p w14:paraId="2E0BE9DA" w14:textId="7777777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668C5C3E" w14:textId="56B3D88B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DC3632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DC3632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DC3632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1682BA5D" w:rsidR="0012487A" w:rsidRPr="004B00C6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hAnsi="Arial" w:cs="Arial"/>
          <w:bCs/>
          <w:sz w:val="24"/>
          <w:szCs w:val="24"/>
        </w:rPr>
        <w:t>There are</w:t>
      </w:r>
      <w:r w:rsidRPr="004B00C6">
        <w:rPr>
          <w:rFonts w:ascii="Arial" w:hAnsi="Arial" w:cs="Arial"/>
          <w:b/>
          <w:bCs/>
          <w:sz w:val="24"/>
          <w:szCs w:val="24"/>
        </w:rPr>
        <w:t xml:space="preserve"> </w:t>
      </w:r>
      <w:r w:rsidR="008D1DEC" w:rsidRPr="004B00C6">
        <w:rPr>
          <w:rFonts w:ascii="Arial" w:hAnsi="Arial" w:cs="Arial"/>
          <w:b/>
          <w:bCs/>
          <w:sz w:val="24"/>
          <w:szCs w:val="24"/>
        </w:rPr>
        <w:t>216</w:t>
      </w:r>
      <w:r w:rsidR="00115C90" w:rsidRPr="004B00C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115C90" w:rsidRPr="004B00C6">
        <w:rPr>
          <w:rFonts w:ascii="Arial" w:hAnsi="Arial" w:cs="Arial"/>
          <w:sz w:val="24"/>
          <w:szCs w:val="24"/>
        </w:rPr>
        <w:t xml:space="preserve"> or </w:t>
      </w:r>
      <w:r w:rsidR="008D1DEC" w:rsidRPr="004B00C6">
        <w:rPr>
          <w:rFonts w:ascii="Arial" w:hAnsi="Arial" w:cs="Arial"/>
          <w:b/>
          <w:bCs/>
          <w:sz w:val="24"/>
          <w:szCs w:val="24"/>
        </w:rPr>
        <w:t>1,080</w:t>
      </w:r>
      <w:r w:rsidR="00115C90" w:rsidRPr="004B00C6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115C90" w:rsidRPr="004B00C6">
        <w:rPr>
          <w:rFonts w:ascii="Arial" w:hAnsi="Arial" w:cs="Arial"/>
          <w:sz w:val="24"/>
          <w:szCs w:val="24"/>
        </w:rPr>
        <w:t> </w:t>
      </w:r>
      <w:r w:rsidR="002B432B" w:rsidRPr="004B00C6">
        <w:rPr>
          <w:rFonts w:ascii="Arial" w:hAnsi="Arial" w:cs="Arial"/>
          <w:sz w:val="24"/>
          <w:szCs w:val="24"/>
        </w:rPr>
        <w:t>currently</w:t>
      </w:r>
      <w:r w:rsidR="00115C90" w:rsidRPr="004B00C6">
        <w:rPr>
          <w:rFonts w:ascii="Arial" w:hAnsi="Arial" w:cs="Arial"/>
          <w:sz w:val="24"/>
          <w:szCs w:val="24"/>
        </w:rPr>
        <w:t xml:space="preserve"> </w:t>
      </w:r>
      <w:r w:rsidR="00E23A67" w:rsidRPr="004B00C6">
        <w:rPr>
          <w:rFonts w:ascii="Arial" w:hAnsi="Arial" w:cs="Arial"/>
          <w:sz w:val="24"/>
          <w:szCs w:val="24"/>
        </w:rPr>
        <w:t>taking temporary shelter</w:t>
      </w:r>
      <w:r w:rsidR="00115C90" w:rsidRPr="004B00C6">
        <w:rPr>
          <w:rFonts w:ascii="Arial" w:hAnsi="Arial" w:cs="Arial"/>
          <w:sz w:val="24"/>
          <w:szCs w:val="24"/>
        </w:rPr>
        <w:t xml:space="preserve"> </w:t>
      </w:r>
      <w:r w:rsidR="008D1DEC" w:rsidRPr="004B00C6">
        <w:rPr>
          <w:rFonts w:ascii="Arial" w:hAnsi="Arial" w:cs="Arial"/>
          <w:sz w:val="24"/>
          <w:szCs w:val="24"/>
        </w:rPr>
        <w:t>in</w:t>
      </w:r>
      <w:r w:rsidR="00141EBE" w:rsidRPr="004B00C6">
        <w:rPr>
          <w:rFonts w:ascii="Arial" w:hAnsi="Arial" w:cs="Arial"/>
          <w:sz w:val="24"/>
          <w:szCs w:val="24"/>
        </w:rPr>
        <w:t xml:space="preserve"> </w:t>
      </w:r>
      <w:r w:rsidR="008D1DEC" w:rsidRPr="004B00C6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141EBE" w:rsidRPr="004B00C6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4B00C6">
        <w:rPr>
          <w:rFonts w:ascii="Arial" w:hAnsi="Arial" w:cs="Arial"/>
          <w:sz w:val="24"/>
          <w:szCs w:val="24"/>
        </w:rPr>
        <w:t xml:space="preserve">(see Table </w:t>
      </w:r>
      <w:r w:rsidR="0012487A" w:rsidRPr="004B00C6">
        <w:rPr>
          <w:rFonts w:ascii="Arial" w:hAnsi="Arial" w:cs="Arial"/>
          <w:sz w:val="24"/>
          <w:szCs w:val="24"/>
        </w:rPr>
        <w:t>2</w:t>
      </w:r>
      <w:r w:rsidR="00115C90" w:rsidRPr="004B00C6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082A4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7F643AE4" w:rsidR="00115C90" w:rsidRPr="00082A4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9B5EF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504"/>
        <w:gridCol w:w="901"/>
        <w:gridCol w:w="906"/>
        <w:gridCol w:w="901"/>
        <w:gridCol w:w="906"/>
        <w:gridCol w:w="904"/>
        <w:gridCol w:w="897"/>
      </w:tblGrid>
      <w:tr w:rsidR="008D1DEC" w14:paraId="1C8630D0" w14:textId="77777777" w:rsidTr="008D1DEC">
        <w:trPr>
          <w:trHeight w:val="20"/>
        </w:trPr>
        <w:tc>
          <w:tcPr>
            <w:tcW w:w="2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A5779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6A917B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5BCAF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D1DEC" w14:paraId="3EFC3734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B4F30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C40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A12D181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D1DEC" w14:paraId="0DDA37D5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8ABF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BED1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E3476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FF7938" w14:textId="3190F3E1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D1DEC" w14:paraId="224B4473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9BBB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0F1500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5601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6429F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AA0FB8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29C16A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EDC27F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D1DEC" w14:paraId="651AF677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F267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2CEDC" w14:textId="10367F2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6B9E4" w14:textId="520A204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6564A" w14:textId="514C5FA2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93578" w14:textId="01E7A9D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C4F53D" w14:textId="47ADDFE0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10B4B" w14:textId="63CA53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10ABE1E0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6E123D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E9449" w14:textId="2487EB3F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BA476" w14:textId="43CF3AA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12AF2" w14:textId="73574DCF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944DB" w14:textId="00AA2BC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34F38" w14:textId="0382049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2D0AA" w14:textId="7168AFD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69065A4B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5193B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5B185" w14:textId="2186DBF6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800EC" w14:textId="40093E8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8541F" w14:textId="33AEE3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002CE" w14:textId="2569FAF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84EA3" w14:textId="0F86219E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D86B9" w14:textId="326C366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21A763C0" w14:textId="77777777" w:rsidTr="008D1DEC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EF73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E073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752B" w14:textId="692A26C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C0D8" w14:textId="131972B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1096" w14:textId="0EF898C4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1678" w14:textId="293F380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DA7A" w14:textId="5FFA978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4ED6" w14:textId="71EE727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</w:tr>
    </w:tbl>
    <w:p w14:paraId="7B568C6D" w14:textId="4A3C7ABA" w:rsidR="00665FE8" w:rsidRPr="00082A4E" w:rsidRDefault="009C26DF" w:rsidP="009C26DF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2EF3AFD" w14:textId="42AD4CE4" w:rsidR="009B483E" w:rsidRPr="00082A4E" w:rsidRDefault="002964AD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D6BA82A" w14:textId="77777777" w:rsidR="00640A41" w:rsidRPr="00082A4E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3766E82" w14:textId="77777777" w:rsidR="002964AD" w:rsidRPr="00DC3632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5E887743" w:rsidR="002964AD" w:rsidRPr="004B00C6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hAnsi="Arial" w:cs="Arial"/>
          <w:bCs/>
          <w:sz w:val="24"/>
          <w:szCs w:val="24"/>
        </w:rPr>
        <w:t>There are</w:t>
      </w:r>
      <w:r w:rsidRPr="004B00C6">
        <w:rPr>
          <w:rFonts w:ascii="Arial" w:hAnsi="Arial" w:cs="Arial"/>
          <w:b/>
          <w:bCs/>
          <w:sz w:val="24"/>
          <w:szCs w:val="24"/>
        </w:rPr>
        <w:t xml:space="preserve"> </w:t>
      </w:r>
      <w:r w:rsidR="008D1DEC" w:rsidRPr="004B00C6">
        <w:rPr>
          <w:rFonts w:ascii="Arial" w:eastAsia="Arial" w:hAnsi="Arial" w:cs="Arial"/>
          <w:b/>
          <w:sz w:val="24"/>
          <w:szCs w:val="24"/>
        </w:rPr>
        <w:t>20</w:t>
      </w:r>
      <w:r w:rsidR="00141EBE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b/>
          <w:sz w:val="24"/>
          <w:szCs w:val="24"/>
        </w:rPr>
        <w:t>families</w:t>
      </w:r>
      <w:r w:rsidRPr="004B00C6">
        <w:rPr>
          <w:rFonts w:ascii="Arial" w:eastAsia="Arial" w:hAnsi="Arial" w:cs="Arial"/>
          <w:sz w:val="24"/>
          <w:szCs w:val="24"/>
        </w:rPr>
        <w:t xml:space="preserve"> or </w:t>
      </w:r>
      <w:r w:rsidR="008D1DEC" w:rsidRPr="004B00C6">
        <w:rPr>
          <w:rFonts w:ascii="Arial" w:eastAsia="Arial" w:hAnsi="Arial" w:cs="Arial"/>
          <w:b/>
          <w:sz w:val="24"/>
          <w:szCs w:val="24"/>
        </w:rPr>
        <w:t>100</w:t>
      </w:r>
      <w:r w:rsidR="009B483E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b/>
          <w:sz w:val="24"/>
          <w:szCs w:val="24"/>
        </w:rPr>
        <w:t>persons</w:t>
      </w:r>
      <w:r w:rsidRPr="004B00C6">
        <w:rPr>
          <w:rFonts w:ascii="Arial" w:eastAsia="Arial" w:hAnsi="Arial" w:cs="Arial"/>
          <w:sz w:val="24"/>
          <w:szCs w:val="24"/>
        </w:rPr>
        <w:t xml:space="preserve"> </w:t>
      </w:r>
      <w:r w:rsidRPr="004B00C6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4B00C6">
        <w:rPr>
          <w:rFonts w:ascii="Arial" w:hAnsi="Arial" w:cs="Arial"/>
          <w:sz w:val="24"/>
          <w:szCs w:val="24"/>
          <w:lang w:val="id-ID"/>
        </w:rPr>
        <w:t>3</w:t>
      </w:r>
      <w:r w:rsidRPr="004B00C6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082A4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9D95B92" w14:textId="43343A09" w:rsidR="002964AD" w:rsidRPr="00082A4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  <w:r w:rsidR="009B5EF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72"/>
        <w:gridCol w:w="1132"/>
        <w:gridCol w:w="1132"/>
        <w:gridCol w:w="1132"/>
        <w:gridCol w:w="1130"/>
      </w:tblGrid>
      <w:tr w:rsidR="008D1DEC" w14:paraId="034EAFAB" w14:textId="77777777" w:rsidTr="008D1DEC">
        <w:trPr>
          <w:trHeight w:val="20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06BE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7BA9B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D1DEC" w14:paraId="34B20B2C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E10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8796D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D1DEC" w14:paraId="43F36F68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6DC1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645A0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59F40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1DEC" w14:paraId="1A13447E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D1D4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4FA52F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0B69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E9B9BC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875D4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D1DEC" w14:paraId="32619FE7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B5E42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BDC9F" w14:textId="164BCE14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BA703" w14:textId="46B27DC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30378" w14:textId="6DD0D3E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8E337" w14:textId="1F5212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04F9BDF9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40427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308D4" w14:textId="17E68C8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683F0" w14:textId="7FD509D6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03646" w14:textId="6AE2049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EFC17" w14:textId="7CD044D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0EC95F59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B51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57067" w14:textId="5510E39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DDAF" w14:textId="142FF0A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65A3D" w14:textId="2C1E6F7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0C3EF" w14:textId="24748E1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794EF1DD" w14:textId="77777777" w:rsidTr="008D1DE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A3A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6B6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170D" w14:textId="5A729E8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41A3" w14:textId="78E58FD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E40E" w14:textId="480B665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BEC2" w14:textId="6DFC205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2BA0B886" w14:textId="77777777" w:rsidR="009B5EF1" w:rsidRPr="00082A4E" w:rsidRDefault="009B5EF1" w:rsidP="009B5EF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44B73E3C" w14:textId="4AA64BF7" w:rsidR="007A3957" w:rsidRPr="008D1DEC" w:rsidRDefault="002964AD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F0E1501" w14:textId="03E595A9" w:rsidR="002964AD" w:rsidRPr="004B00C6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eastAsia="Arial" w:hAnsi="Arial" w:cs="Arial"/>
          <w:sz w:val="24"/>
          <w:szCs w:val="24"/>
        </w:rPr>
        <w:t>A total of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4B00C6">
        <w:rPr>
          <w:rFonts w:ascii="Arial" w:eastAsia="Arial" w:hAnsi="Arial" w:cs="Arial"/>
          <w:b/>
          <w:sz w:val="24"/>
          <w:szCs w:val="24"/>
        </w:rPr>
        <w:t>1</w:t>
      </w:r>
      <w:r w:rsidR="00E75034" w:rsidRPr="004B00C6">
        <w:rPr>
          <w:rFonts w:ascii="Arial" w:eastAsia="Arial" w:hAnsi="Arial" w:cs="Arial"/>
          <w:b/>
          <w:sz w:val="24"/>
          <w:szCs w:val="24"/>
        </w:rPr>
        <w:t>46</w:t>
      </w:r>
      <w:r w:rsidR="009B483E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4B00C6">
        <w:rPr>
          <w:rFonts w:ascii="Arial" w:eastAsia="Arial" w:hAnsi="Arial" w:cs="Arial"/>
          <w:sz w:val="24"/>
          <w:szCs w:val="24"/>
        </w:rPr>
        <w:t>were damaged;</w:t>
      </w:r>
      <w:r w:rsidR="009B483E" w:rsidRPr="004B00C6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4B00C6">
        <w:rPr>
          <w:rFonts w:ascii="Arial" w:eastAsia="Arial" w:hAnsi="Arial" w:cs="Arial"/>
          <w:sz w:val="24"/>
          <w:szCs w:val="24"/>
        </w:rPr>
        <w:t>,</w:t>
      </w:r>
      <w:r w:rsidR="009B483E" w:rsidRPr="004B00C6">
        <w:rPr>
          <w:rFonts w:ascii="Arial" w:eastAsia="Arial" w:hAnsi="Arial" w:cs="Arial"/>
          <w:b/>
          <w:sz w:val="24"/>
          <w:szCs w:val="24"/>
        </w:rPr>
        <w:t xml:space="preserve"> 1</w:t>
      </w:r>
      <w:r w:rsidR="00E75034" w:rsidRPr="004B00C6">
        <w:rPr>
          <w:rFonts w:ascii="Arial" w:eastAsia="Arial" w:hAnsi="Arial" w:cs="Arial"/>
          <w:b/>
          <w:sz w:val="24"/>
          <w:szCs w:val="24"/>
        </w:rPr>
        <w:t>43</w:t>
      </w:r>
      <w:r w:rsidR="009B483E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sz w:val="24"/>
          <w:szCs w:val="24"/>
        </w:rPr>
        <w:t xml:space="preserve">were 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4B00C6">
        <w:rPr>
          <w:rFonts w:ascii="Arial" w:eastAsia="Arial" w:hAnsi="Arial" w:cs="Arial"/>
          <w:sz w:val="24"/>
          <w:szCs w:val="24"/>
        </w:rPr>
        <w:t>and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>t</w:t>
      </w:r>
      <w:r w:rsidR="00E75034" w:rsidRPr="004B00C6">
        <w:rPr>
          <w:rFonts w:ascii="Arial" w:eastAsia="Arial" w:hAnsi="Arial" w:cs="Arial"/>
          <w:b/>
          <w:sz w:val="24"/>
          <w:szCs w:val="24"/>
        </w:rPr>
        <w:t>hree</w:t>
      </w:r>
      <w:r w:rsidR="007A3957" w:rsidRPr="004B00C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b/>
          <w:sz w:val="24"/>
          <w:szCs w:val="24"/>
        </w:rPr>
        <w:t>(</w:t>
      </w:r>
      <w:r w:rsidR="00E75034" w:rsidRPr="004B00C6">
        <w:rPr>
          <w:rFonts w:ascii="Arial" w:eastAsia="Arial" w:hAnsi="Arial" w:cs="Arial"/>
          <w:b/>
          <w:sz w:val="24"/>
          <w:szCs w:val="24"/>
        </w:rPr>
        <w:t>3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) </w:t>
      </w:r>
      <w:r w:rsidRPr="004B00C6">
        <w:rPr>
          <w:rFonts w:ascii="Arial" w:eastAsia="Arial" w:hAnsi="Arial" w:cs="Arial"/>
          <w:sz w:val="24"/>
          <w:szCs w:val="24"/>
        </w:rPr>
        <w:t>w</w:t>
      </w:r>
      <w:r w:rsidR="00141EBE" w:rsidRPr="004B00C6">
        <w:rPr>
          <w:rFonts w:ascii="Arial" w:eastAsia="Arial" w:hAnsi="Arial" w:cs="Arial"/>
          <w:sz w:val="24"/>
          <w:szCs w:val="24"/>
        </w:rPr>
        <w:t>ere</w:t>
      </w:r>
      <w:r w:rsidRPr="004B00C6">
        <w:rPr>
          <w:rFonts w:ascii="Arial" w:eastAsia="Arial" w:hAnsi="Arial" w:cs="Arial"/>
          <w:sz w:val="24"/>
          <w:szCs w:val="24"/>
        </w:rPr>
        <w:t xml:space="preserve"> </w:t>
      </w:r>
      <w:r w:rsidRPr="004B00C6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41EBE" w:rsidRPr="004B00C6">
        <w:rPr>
          <w:rFonts w:ascii="Arial" w:eastAsia="Arial" w:hAnsi="Arial" w:cs="Arial"/>
          <w:sz w:val="24"/>
          <w:szCs w:val="24"/>
        </w:rPr>
        <w:t>(see Table 4</w:t>
      </w:r>
      <w:r w:rsidRPr="004B00C6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222"/>
        <w:gridCol w:w="1255"/>
        <w:gridCol w:w="1255"/>
        <w:gridCol w:w="1449"/>
      </w:tblGrid>
      <w:tr w:rsidR="008D1DEC" w14:paraId="1DAA6514" w14:textId="77777777" w:rsidTr="008D1DEC">
        <w:trPr>
          <w:trHeight w:val="20"/>
        </w:trPr>
        <w:tc>
          <w:tcPr>
            <w:tcW w:w="28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391FA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812662" w14:textId="691922A2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D1DEC" w14:paraId="26CFB9D5" w14:textId="77777777" w:rsidTr="008D1DEC">
        <w:trPr>
          <w:trHeight w:val="20"/>
        </w:trPr>
        <w:tc>
          <w:tcPr>
            <w:tcW w:w="28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28AF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779D9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1A3D1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78616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D1DEC" w14:paraId="0C1C0DDC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E834C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D10E8" w14:textId="44C0D48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E55B2" w14:textId="4B2629B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A5717" w14:textId="6266A5A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5BB56962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4C782E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B4C96" w14:textId="568C81C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5E218" w14:textId="7B01D7E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971F" w14:textId="425FB8F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7B94C80F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8CEB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FDEFB" w14:textId="558F85E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A3778" w14:textId="61769850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EF332" w14:textId="2F46DC3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2D81AE35" w14:textId="77777777" w:rsidTr="00E7503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BF43E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ADB0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177F" w14:textId="45619AC2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45D1" w14:textId="5B1A7ECE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454F" w14:textId="015583E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2B1FE782" w14:textId="25A81467" w:rsidR="00141EBE" w:rsidRPr="00082A4E" w:rsidRDefault="007A3957" w:rsidP="00E75034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03BF69FF" w14:textId="6E185E64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37EA2395" w14:textId="77777777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9F68B4" w14:textId="674DA73D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75034">
        <w:rPr>
          <w:rFonts w:ascii="Arial" w:eastAsia="Arial" w:hAnsi="Arial" w:cs="Arial"/>
          <w:sz w:val="24"/>
          <w:szCs w:val="24"/>
        </w:rPr>
        <w:t xml:space="preserve">A total of 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E6A1B" w:rsidRPr="009E6A1B">
        <w:rPr>
          <w:rFonts w:ascii="Arial" w:eastAsia="Arial" w:hAnsi="Arial" w:cs="Arial"/>
          <w:b/>
          <w:color w:val="0070C0"/>
          <w:sz w:val="24"/>
          <w:szCs w:val="24"/>
        </w:rPr>
        <w:t xml:space="preserve">1,971,183.00 </w:t>
      </w:r>
      <w:r w:rsidRPr="00E7503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9E6A1B">
        <w:rPr>
          <w:rFonts w:ascii="Arial" w:eastAsia="Arial" w:hAnsi="Arial" w:cs="Arial"/>
          <w:sz w:val="24"/>
          <w:szCs w:val="24"/>
        </w:rPr>
        <w:t xml:space="preserve">; of which, </w:t>
      </w:r>
      <w:r w:rsidR="009E6A1B"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E6A1B" w:rsidRPr="009E6A1B">
        <w:rPr>
          <w:rFonts w:ascii="Arial" w:eastAsia="Arial" w:hAnsi="Arial" w:cs="Arial"/>
          <w:b/>
          <w:color w:val="0070C0"/>
          <w:sz w:val="24"/>
          <w:szCs w:val="24"/>
        </w:rPr>
        <w:t>1,499,183.00</w:t>
      </w:r>
      <w:r w:rsidR="009E6A1B" w:rsidRPr="009E6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6A1B">
        <w:rPr>
          <w:rFonts w:ascii="Arial" w:eastAsia="Arial" w:hAnsi="Arial" w:cs="Arial"/>
          <w:sz w:val="24"/>
          <w:szCs w:val="24"/>
        </w:rPr>
        <w:t xml:space="preserve">from </w:t>
      </w:r>
      <w:r w:rsidR="009E6A1B" w:rsidRPr="00E7503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E75034">
        <w:rPr>
          <w:rFonts w:ascii="Arial" w:eastAsia="Arial" w:hAnsi="Arial" w:cs="Arial"/>
          <w:sz w:val="24"/>
          <w:szCs w:val="24"/>
        </w:rPr>
        <w:t xml:space="preserve"> </w:t>
      </w:r>
      <w:r w:rsidR="009E6A1B">
        <w:rPr>
          <w:rFonts w:ascii="Arial" w:eastAsia="Arial" w:hAnsi="Arial" w:cs="Arial"/>
          <w:sz w:val="24"/>
          <w:szCs w:val="24"/>
        </w:rPr>
        <w:t xml:space="preserve">and </w:t>
      </w:r>
      <w:r w:rsidR="009E6A1B" w:rsidRPr="009E6A1B">
        <w:rPr>
          <w:rFonts w:ascii="Arial" w:eastAsia="Arial" w:hAnsi="Arial" w:cs="Arial"/>
          <w:b/>
          <w:color w:val="0070C0"/>
          <w:sz w:val="24"/>
          <w:szCs w:val="24"/>
        </w:rPr>
        <w:t>₱472,000.00</w:t>
      </w:r>
      <w:r w:rsidR="009E6A1B" w:rsidRPr="009E6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6A1B">
        <w:rPr>
          <w:rFonts w:ascii="Arial" w:eastAsia="Arial" w:hAnsi="Arial" w:cs="Arial"/>
          <w:sz w:val="24"/>
          <w:szCs w:val="24"/>
        </w:rPr>
        <w:t xml:space="preserve">from </w:t>
      </w:r>
      <w:r w:rsidR="009B5EF1" w:rsidRPr="009E6A1B">
        <w:rPr>
          <w:rFonts w:ascii="Arial" w:eastAsia="Arial" w:hAnsi="Arial" w:cs="Arial"/>
          <w:b/>
          <w:color w:val="0070C0"/>
          <w:sz w:val="24"/>
          <w:szCs w:val="24"/>
        </w:rPr>
        <w:t xml:space="preserve">other </w:t>
      </w:r>
      <w:r w:rsidR="009E6A1B" w:rsidRPr="009E6A1B">
        <w:rPr>
          <w:rFonts w:ascii="Arial" w:eastAsia="Arial" w:hAnsi="Arial" w:cs="Arial"/>
          <w:b/>
          <w:color w:val="0070C0"/>
          <w:sz w:val="24"/>
          <w:szCs w:val="24"/>
        </w:rPr>
        <w:t>Private Partners</w:t>
      </w:r>
      <w:r w:rsidR="009E6A1B" w:rsidRPr="009E6A1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75034">
        <w:rPr>
          <w:rFonts w:ascii="Arial" w:eastAsia="Arial" w:hAnsi="Arial" w:cs="Arial"/>
          <w:sz w:val="24"/>
          <w:szCs w:val="24"/>
        </w:rPr>
        <w:t>(see Table 5).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27E4097D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12"/>
        <w:gridCol w:w="1397"/>
        <w:gridCol w:w="826"/>
        <w:gridCol w:w="1124"/>
        <w:gridCol w:w="1254"/>
        <w:gridCol w:w="1789"/>
      </w:tblGrid>
      <w:tr w:rsidR="00E75034" w:rsidRPr="009E6A1B" w14:paraId="5EBC9296" w14:textId="77777777" w:rsidTr="009E6A1B">
        <w:trPr>
          <w:trHeight w:val="20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E3133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72448C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75034" w:rsidRPr="009E6A1B" w14:paraId="4F6737A9" w14:textId="77777777" w:rsidTr="009E6A1B">
        <w:trPr>
          <w:trHeight w:val="20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7915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94094C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358D64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7DF4A4" w14:textId="26868641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1F2413" w14:textId="4B2F8D2C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B7C758" w14:textId="77777777" w:rsidR="00E75034" w:rsidRPr="009E6A1B" w:rsidRDefault="00E75034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E6A1B" w:rsidRPr="009E6A1B" w14:paraId="46218576" w14:textId="77777777" w:rsidTr="00194F81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4F0D1" w14:textId="77777777" w:rsidR="009E6A1B" w:rsidRPr="009E6A1B" w:rsidRDefault="009E6A1B" w:rsidP="009E6A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67515A" w14:textId="118528BC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A8B1DB" w14:textId="357AB8ED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BCEF6" w14:textId="39290705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F9A3E" w14:textId="4F62A5DF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D256C" w14:textId="39B09BA1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1,971,183.00 </w:t>
            </w:r>
          </w:p>
        </w:tc>
      </w:tr>
      <w:tr w:rsidR="009E6A1B" w:rsidRPr="009E6A1B" w14:paraId="1529BA47" w14:textId="77777777" w:rsidTr="00194F81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09E8EC" w14:textId="77777777" w:rsidR="009E6A1B" w:rsidRPr="009E6A1B" w:rsidRDefault="009E6A1B" w:rsidP="009E6A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94C2D" w14:textId="5FB60F01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C14CA" w14:textId="756E9BAE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67D4C" w14:textId="560F9D45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1A660" w14:textId="735C8C92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87B94" w14:textId="49151068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1,971,183.00 </w:t>
            </w:r>
          </w:p>
        </w:tc>
      </w:tr>
      <w:tr w:rsidR="009E6A1B" w:rsidRPr="009E6A1B" w14:paraId="0177C518" w14:textId="77777777" w:rsidTr="00194F81">
        <w:trPr>
          <w:trHeight w:val="20"/>
        </w:trPr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C03A4" w14:textId="77777777" w:rsidR="009E6A1B" w:rsidRPr="009E6A1B" w:rsidRDefault="009E6A1B" w:rsidP="009E6A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4A038" w14:textId="19CD1619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33EB7" w14:textId="1AC928DC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9B911" w14:textId="60A788B4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D78B3" w14:textId="059C4FD3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C355C" w14:textId="79C5848A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1,971,183.00 </w:t>
            </w:r>
          </w:p>
        </w:tc>
      </w:tr>
      <w:tr w:rsidR="009E6A1B" w:rsidRPr="009E6A1B" w14:paraId="443718BC" w14:textId="77777777" w:rsidTr="00F77F4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E5CF" w14:textId="77777777" w:rsidR="009E6A1B" w:rsidRPr="009E6A1B" w:rsidRDefault="009E6A1B" w:rsidP="009E6A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29F6" w14:textId="77777777" w:rsidR="009E6A1B" w:rsidRPr="009E6A1B" w:rsidRDefault="009E6A1B" w:rsidP="009E6A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C02B" w14:textId="52B20B1C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30ED" w14:textId="656421F3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BEF4" w14:textId="14A18819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5BBA" w14:textId="2E36E8D1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B42E" w14:textId="0184C13B" w:rsidR="009E6A1B" w:rsidRPr="009E6A1B" w:rsidRDefault="009E6A1B" w:rsidP="009E6A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A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1,971,183.00 </w:t>
            </w:r>
          </w:p>
        </w:tc>
      </w:tr>
    </w:tbl>
    <w:p w14:paraId="6523A396" w14:textId="77777777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DC3632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082A4E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FAAE64B" w:rsidR="00985089" w:rsidRPr="00082A4E" w:rsidRDefault="004B00C6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9B483E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082A4E" w:rsidRDefault="00E97EC4" w:rsidP="007E3F8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6E92D39" w:rsidR="00C87BB7" w:rsidRPr="00082A4E" w:rsidRDefault="004B00C6" w:rsidP="007A39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7A395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3E719336" w:rsidR="00E75034" w:rsidRPr="00E75034" w:rsidRDefault="00E75034" w:rsidP="009E6A1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 </w:t>
            </w:r>
            <w:r w:rsidR="00C13AA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a total of </w:t>
            </w:r>
            <w:r w:rsidR="00C13AA8"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C13AA8" w:rsidRPr="00C13AA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1,499,183.00 </w:t>
            </w:r>
            <w:r w:rsidR="00C13AA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 assistance to the affected families which consists of 236 family food packs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236 </w:t>
            </w:r>
            <w:r w:rsidR="00C13AA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family kits. 236 sleeping kits, 236 kitchen kits and 25 </w:t>
            </w:r>
            <w:r w:rsidR="00C13AA8"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tents</w:t>
            </w:r>
            <w:r w:rsidR="009E6A1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Also, </w:t>
            </w:r>
            <w:r w:rsidR="00D02A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Crisis Intervention Unit (CIU) of DSWD-FO XI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₱5,000.00 cash assistance to the affected families</w:t>
            </w:r>
            <w:r w:rsidR="00D02A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through </w:t>
            </w:r>
            <w:r w:rsidR="00D02A2F"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AICS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673CAD3F" w:rsidR="009B483E" w:rsidRPr="00E75034" w:rsidRDefault="002B52AB" w:rsidP="00E750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7A5AB40" w14:textId="77777777" w:rsidR="004B00C6" w:rsidRPr="004B00C6" w:rsidRDefault="004B00C6" w:rsidP="004B00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10BDB4F" w14:textId="49A76AB3" w:rsidR="0012487A" w:rsidRPr="00DC3632" w:rsidRDefault="004B00C6" w:rsidP="004B00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B00C6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7E70A15" w14:textId="77777777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5EB0390" w14:textId="77777777" w:rsidR="004B00C6" w:rsidRDefault="004B00C6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4B00C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4C06A4BF" w:rsidR="0012487A" w:rsidRPr="00DC3632" w:rsidRDefault="0012487A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DC3632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AA98" w14:textId="77777777" w:rsidR="00855BF9" w:rsidRDefault="00855BF9">
      <w:pPr>
        <w:spacing w:after="0" w:line="240" w:lineRule="auto"/>
      </w:pPr>
      <w:r>
        <w:separator/>
      </w:r>
    </w:p>
  </w:endnote>
  <w:endnote w:type="continuationSeparator" w:id="0">
    <w:p w14:paraId="409F1ACD" w14:textId="77777777" w:rsidR="00855BF9" w:rsidRDefault="008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F02758F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E6A1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E6A1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7A3957">
      <w:rPr>
        <w:rFonts w:ascii="Arial" w:eastAsia="Arial" w:hAnsi="Arial" w:cs="Arial"/>
        <w:sz w:val="14"/>
        <w:szCs w:val="14"/>
      </w:rPr>
      <w:t>DSWD DROMIC Report #</w:t>
    </w:r>
    <w:r w:rsidR="004B00C6">
      <w:rPr>
        <w:rFonts w:ascii="Arial" w:eastAsia="Arial" w:hAnsi="Arial" w:cs="Arial"/>
        <w:sz w:val="14"/>
        <w:szCs w:val="14"/>
      </w:rPr>
      <w:t>3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</w:t>
    </w:r>
    <w:r w:rsidR="007A3957" w:rsidRPr="007A3957">
      <w:rPr>
        <w:rFonts w:ascii="Arial" w:eastAsia="Arial" w:hAnsi="Arial" w:cs="Arial"/>
        <w:sz w:val="14"/>
        <w:szCs w:val="14"/>
      </w:rPr>
      <w:t>Brgy. Tibungco, Bunawan, Davao City</w:t>
    </w:r>
    <w:r w:rsidR="007A3957">
      <w:rPr>
        <w:rFonts w:ascii="Arial" w:eastAsia="Arial" w:hAnsi="Arial" w:cs="Arial"/>
        <w:sz w:val="14"/>
        <w:szCs w:val="14"/>
      </w:rPr>
      <w:t xml:space="preserve"> </w:t>
    </w:r>
    <w:r w:rsidR="00E8362D">
      <w:rPr>
        <w:rFonts w:ascii="Arial" w:eastAsia="Arial" w:hAnsi="Arial" w:cs="Arial"/>
        <w:sz w:val="14"/>
        <w:szCs w:val="14"/>
      </w:rPr>
      <w:t xml:space="preserve">as of </w:t>
    </w:r>
    <w:r w:rsidR="004B00C6">
      <w:rPr>
        <w:rFonts w:ascii="Arial" w:eastAsia="Arial" w:hAnsi="Arial" w:cs="Arial"/>
        <w:sz w:val="14"/>
        <w:szCs w:val="14"/>
      </w:rPr>
      <w:t>12</w:t>
    </w:r>
    <w:r w:rsidR="002964AD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E981" w14:textId="77777777" w:rsidR="00855BF9" w:rsidRDefault="00855BF9">
      <w:pPr>
        <w:spacing w:after="0" w:line="240" w:lineRule="auto"/>
      </w:pPr>
      <w:r>
        <w:separator/>
      </w:r>
    </w:p>
  </w:footnote>
  <w:footnote w:type="continuationSeparator" w:id="0">
    <w:p w14:paraId="387D3D21" w14:textId="77777777" w:rsidR="00855BF9" w:rsidRDefault="0085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5EF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5</cp:revision>
  <dcterms:created xsi:type="dcterms:W3CDTF">2021-05-11T10:19:00Z</dcterms:created>
  <dcterms:modified xsi:type="dcterms:W3CDTF">2021-05-11T12:26:00Z</dcterms:modified>
</cp:coreProperties>
</file>