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A7BE" w14:textId="77777777" w:rsidR="00934599" w:rsidRPr="00934599" w:rsidRDefault="00D80C6C" w:rsidP="00934599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80C6C">
        <w:rPr>
          <w:rFonts w:ascii="Arial" w:hAnsi="Arial" w:cs="Arial"/>
          <w:b/>
          <w:sz w:val="32"/>
          <w:szCs w:val="32"/>
        </w:rPr>
        <w:t xml:space="preserve">DSWD DROMIC </w:t>
      </w:r>
      <w:r>
        <w:rPr>
          <w:rFonts w:ascii="Arial" w:hAnsi="Arial" w:cs="Arial"/>
          <w:b/>
          <w:sz w:val="32"/>
          <w:szCs w:val="32"/>
        </w:rPr>
        <w:t xml:space="preserve">Terminal </w:t>
      </w:r>
      <w:r w:rsidRPr="00D80C6C">
        <w:rPr>
          <w:rFonts w:ascii="Arial" w:hAnsi="Arial" w:cs="Arial"/>
          <w:b/>
          <w:sz w:val="32"/>
          <w:szCs w:val="32"/>
        </w:rPr>
        <w:t>Report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0C6C">
        <w:rPr>
          <w:rFonts w:ascii="Arial" w:hAnsi="Arial" w:cs="Arial"/>
          <w:b/>
          <w:sz w:val="32"/>
          <w:szCs w:val="32"/>
        </w:rPr>
        <w:t xml:space="preserve">on the </w:t>
      </w:r>
      <w:r w:rsidR="00934599" w:rsidRPr="00934599">
        <w:rPr>
          <w:rFonts w:ascii="Arial" w:hAnsi="Arial" w:cs="Arial"/>
          <w:b/>
          <w:sz w:val="32"/>
          <w:szCs w:val="32"/>
        </w:rPr>
        <w:t xml:space="preserve">Displacement in </w:t>
      </w:r>
    </w:p>
    <w:p w14:paraId="55ABD11A" w14:textId="451121E7" w:rsidR="00D80C6C" w:rsidRDefault="00934599" w:rsidP="00934599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34599">
        <w:rPr>
          <w:rFonts w:ascii="Arial" w:hAnsi="Arial" w:cs="Arial"/>
          <w:b/>
          <w:sz w:val="32"/>
          <w:szCs w:val="32"/>
        </w:rPr>
        <w:t>Brgy</w:t>
      </w:r>
      <w:proofErr w:type="spellEnd"/>
      <w:r w:rsidRPr="00934599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934599">
        <w:rPr>
          <w:rFonts w:ascii="Arial" w:hAnsi="Arial" w:cs="Arial"/>
          <w:b/>
          <w:sz w:val="32"/>
          <w:szCs w:val="32"/>
        </w:rPr>
        <w:t>Kabasalan</w:t>
      </w:r>
      <w:proofErr w:type="spellEnd"/>
      <w:r w:rsidRPr="0093459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934599">
        <w:rPr>
          <w:rFonts w:ascii="Arial" w:hAnsi="Arial" w:cs="Arial"/>
          <w:b/>
          <w:sz w:val="32"/>
          <w:szCs w:val="32"/>
        </w:rPr>
        <w:t>Pikit</w:t>
      </w:r>
      <w:proofErr w:type="spellEnd"/>
      <w:r w:rsidRPr="00934599">
        <w:rPr>
          <w:rFonts w:ascii="Arial" w:hAnsi="Arial" w:cs="Arial"/>
          <w:b/>
          <w:sz w:val="32"/>
          <w:szCs w:val="32"/>
        </w:rPr>
        <w:t xml:space="preserve">, North </w:t>
      </w:r>
      <w:proofErr w:type="spellStart"/>
      <w:r w:rsidRPr="00934599">
        <w:rPr>
          <w:rFonts w:ascii="Arial" w:hAnsi="Arial" w:cs="Arial"/>
          <w:b/>
          <w:sz w:val="32"/>
          <w:szCs w:val="32"/>
        </w:rPr>
        <w:t>Cotabato</w:t>
      </w:r>
      <w:proofErr w:type="spellEnd"/>
    </w:p>
    <w:p w14:paraId="1885BDD2" w14:textId="4188B956" w:rsidR="003D1D86" w:rsidRPr="00603068" w:rsidRDefault="00934599" w:rsidP="00D80C6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287992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D1D86">
        <w:rPr>
          <w:rFonts w:ascii="Arial" w:eastAsia="Arial" w:hAnsi="Arial" w:cs="Arial"/>
          <w:sz w:val="24"/>
          <w:szCs w:val="24"/>
        </w:rPr>
        <w:t>September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3D1D86">
        <w:rPr>
          <w:rFonts w:ascii="Arial" w:eastAsia="Arial" w:hAnsi="Arial" w:cs="Arial"/>
          <w:sz w:val="24"/>
          <w:szCs w:val="24"/>
        </w:rPr>
        <w:t>21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3D1D8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0A5DA00" w14:textId="29069188" w:rsidR="00D0530D" w:rsidRDefault="003D1D86" w:rsidP="00B90D8F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 w:rsidR="003D1C5C"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displacement of families and individuals</w:t>
      </w:r>
      <w:r w:rsidR="003D1C5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 xml:space="preserve">in </w:t>
      </w:r>
      <w:proofErr w:type="spellStart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Sitio</w:t>
      </w:r>
      <w:proofErr w:type="spellEnd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Lakpan</w:t>
      </w:r>
      <w:proofErr w:type="spellEnd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Brgy</w:t>
      </w:r>
      <w:proofErr w:type="spellEnd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spellStart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Kabasalan</w:t>
      </w:r>
      <w:proofErr w:type="spellEnd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Pikit</w:t>
      </w:r>
      <w:proofErr w:type="spellEnd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 xml:space="preserve">, North </w:t>
      </w:r>
      <w:proofErr w:type="spellStart"/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Cotabato</w:t>
      </w:r>
      <w:proofErr w:type="spellEnd"/>
      <w:r w:rsidR="003D1C5C">
        <w:rPr>
          <w:rFonts w:ascii="Arial" w:hAnsi="Arial" w:cs="Arial"/>
          <w:i/>
          <w:iCs/>
          <w:sz w:val="24"/>
          <w:szCs w:val="24"/>
          <w:lang w:val="en-US"/>
        </w:rPr>
        <w:t xml:space="preserve"> on 24 May 2021 due to </w:t>
      </w:r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sighting of the presence of a Bangsamoro Islamic Freedom Fighters (BIFF</w:t>
      </w:r>
      <w:r w:rsidR="003D1C5C">
        <w:rPr>
          <w:rFonts w:ascii="Arial" w:hAnsi="Arial" w:cs="Arial"/>
          <w:i/>
          <w:iCs/>
          <w:sz w:val="24"/>
          <w:szCs w:val="24"/>
          <w:lang w:val="en-US"/>
        </w:rPr>
        <w:t xml:space="preserve">) which </w:t>
      </w:r>
      <w:r w:rsidR="003D1C5C" w:rsidRPr="003D1C5C">
        <w:rPr>
          <w:rFonts w:ascii="Arial" w:hAnsi="Arial" w:cs="Arial"/>
          <w:i/>
          <w:iCs/>
          <w:sz w:val="24"/>
          <w:szCs w:val="24"/>
          <w:lang w:val="en-US"/>
        </w:rPr>
        <w:t>prompted the government troops to conduct an airstrike at the armed group’s base camp in the said area</w:t>
      </w:r>
      <w:r w:rsidR="003D1C5C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6358B7ED" w14:textId="77777777" w:rsidR="00B90D8F" w:rsidRPr="00B90D8F" w:rsidRDefault="00B90D8F" w:rsidP="00B90D8F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AE629F3" w14:textId="1695C46D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747E51">
        <w:rPr>
          <w:rFonts w:ascii="Arial" w:eastAsia="Arial" w:hAnsi="Arial" w:cs="Arial"/>
          <w:i/>
          <w:color w:val="0070C0"/>
          <w:sz w:val="16"/>
        </w:rPr>
        <w:t>X</w:t>
      </w:r>
      <w:r w:rsidR="00D03469">
        <w:rPr>
          <w:rFonts w:ascii="Arial" w:eastAsia="Arial" w:hAnsi="Arial" w:cs="Arial"/>
          <w:i/>
          <w:color w:val="0070C0"/>
          <w:sz w:val="16"/>
        </w:rPr>
        <w:t>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249D4E3D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1,210 </w:t>
      </w:r>
      <w:r w:rsidRPr="001D5EA1">
        <w:rPr>
          <w:rFonts w:ascii="Arial" w:eastAsia="Arial" w:hAnsi="Arial" w:cs="Arial"/>
          <w:b/>
          <w:sz w:val="24"/>
          <w:szCs w:val="24"/>
        </w:rPr>
        <w:t>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DF4379">
        <w:rPr>
          <w:rFonts w:ascii="Arial" w:eastAsia="Arial" w:hAnsi="Arial" w:cs="Arial"/>
          <w:b/>
          <w:sz w:val="24"/>
          <w:szCs w:val="24"/>
        </w:rPr>
        <w:t>7,260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747E51">
        <w:rPr>
          <w:rFonts w:ascii="Arial" w:eastAsia="Arial" w:hAnsi="Arial" w:cs="Arial"/>
          <w:sz w:val="24"/>
          <w:szCs w:val="24"/>
        </w:rPr>
        <w:t xml:space="preserve"> were affected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0346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0346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D03469">
        <w:rPr>
          <w:rFonts w:ascii="Arial" w:eastAsia="Arial" w:hAnsi="Arial" w:cs="Arial"/>
          <w:b/>
          <w:sz w:val="24"/>
          <w:szCs w:val="24"/>
        </w:rPr>
        <w:t>Kabasalan</w:t>
      </w:r>
      <w:proofErr w:type="spellEnd"/>
      <w:r w:rsidR="00AF5087" w:rsidRPr="00573E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D03469">
        <w:rPr>
          <w:rFonts w:ascii="Arial" w:eastAsia="Arial" w:hAnsi="Arial" w:cs="Arial"/>
          <w:b/>
          <w:sz w:val="24"/>
          <w:szCs w:val="24"/>
        </w:rPr>
        <w:t>Pikit</w:t>
      </w:r>
      <w:proofErr w:type="spellEnd"/>
      <w:r w:rsidR="001626DE">
        <w:rPr>
          <w:rFonts w:ascii="Arial" w:eastAsia="Arial" w:hAnsi="Arial" w:cs="Arial"/>
          <w:b/>
          <w:sz w:val="24"/>
          <w:szCs w:val="24"/>
        </w:rPr>
        <w:t xml:space="preserve">, </w:t>
      </w:r>
      <w:r w:rsidR="00D03469">
        <w:rPr>
          <w:rFonts w:ascii="Arial" w:eastAsia="Arial" w:hAnsi="Arial" w:cs="Arial"/>
          <w:b/>
          <w:sz w:val="24"/>
          <w:szCs w:val="24"/>
        </w:rPr>
        <w:t xml:space="preserve">North </w:t>
      </w:r>
      <w:proofErr w:type="spellStart"/>
      <w:r w:rsidR="00D03469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EB866" w14:textId="47189C1B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61C6CF30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45C8A45C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7,260</w:t>
            </w:r>
          </w:p>
        </w:tc>
      </w:tr>
      <w:tr w:rsidR="006F547F" w:rsidRPr="006F547F" w14:paraId="398584A1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D608F05" w:rsidR="006F547F" w:rsidRPr="006F547F" w:rsidRDefault="00D0346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70ED0" w14:textId="16299CAA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6CAFC4A1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2E3CC667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7,260</w:t>
            </w:r>
          </w:p>
        </w:tc>
      </w:tr>
      <w:tr w:rsidR="006F547F" w:rsidRPr="006F547F" w14:paraId="7BE3A84C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03C890DF" w:rsidR="006F547F" w:rsidRPr="006F547F" w:rsidRDefault="00D0346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F1C52" w14:textId="556BEBF7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4CE2C109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0BC85FC8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7,260</w:t>
            </w:r>
          </w:p>
        </w:tc>
      </w:tr>
      <w:tr w:rsidR="006F547F" w:rsidRPr="006F547F" w14:paraId="4808B33B" w14:textId="77777777" w:rsidTr="00747E5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648A323C" w:rsidR="006F547F" w:rsidRPr="006F547F" w:rsidRDefault="00D0346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F2317" w14:textId="28484424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4FB3FAF5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61C61809" w:rsidR="006F547F" w:rsidRPr="006F547F" w:rsidRDefault="00DF4379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7,260</w:t>
            </w:r>
          </w:p>
        </w:tc>
      </w:tr>
    </w:tbl>
    <w:p w14:paraId="0DFF31BA" w14:textId="5650D053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03469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2DFE46DA" w:rsidR="002C151A" w:rsidRPr="001D5EA1" w:rsidRDefault="00765F7D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DF4379">
        <w:rPr>
          <w:rFonts w:ascii="Arial" w:hAnsi="Arial" w:cs="Arial"/>
          <w:b/>
          <w:bCs/>
          <w:sz w:val="24"/>
          <w:szCs w:val="24"/>
        </w:rPr>
        <w:t>613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3,678 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747E51"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AF5087">
        <w:rPr>
          <w:rFonts w:ascii="Arial" w:hAnsi="Arial" w:cs="Arial"/>
          <w:sz w:val="24"/>
          <w:szCs w:val="24"/>
        </w:rPr>
        <w:t>at the</w:t>
      </w:r>
      <w:r w:rsidR="00747E51">
        <w:rPr>
          <w:rFonts w:ascii="Arial" w:hAnsi="Arial" w:cs="Arial"/>
          <w:b/>
          <w:bCs/>
          <w:sz w:val="24"/>
          <w:szCs w:val="24"/>
        </w:rPr>
        <w:t xml:space="preserve"> </w:t>
      </w:r>
      <w:r w:rsidR="00AF5087">
        <w:rPr>
          <w:rFonts w:ascii="Arial" w:hAnsi="Arial" w:cs="Arial"/>
          <w:b/>
          <w:bCs/>
          <w:sz w:val="24"/>
          <w:szCs w:val="24"/>
        </w:rPr>
        <w:t>Municipal Evacuation Center</w:t>
      </w:r>
      <w:r w:rsidRPr="00765F7D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 w:rsidR="00747E51">
        <w:rPr>
          <w:rFonts w:ascii="Arial" w:hAnsi="Arial" w:cs="Arial"/>
          <w:sz w:val="24"/>
          <w:szCs w:val="24"/>
        </w:rPr>
        <w:t>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55"/>
        <w:gridCol w:w="966"/>
        <w:gridCol w:w="970"/>
        <w:gridCol w:w="968"/>
        <w:gridCol w:w="972"/>
        <w:gridCol w:w="968"/>
        <w:gridCol w:w="970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5C1B" w14:textId="536E50D3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2022399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386E8FC4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108014AB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56C73D8D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3,678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4E3729F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A837A5D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3F9D15CA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98F8E" w14:textId="4A1F8558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5225AF89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79404405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49DA1B2E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16FA8A0E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3,678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33A4DD1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1FC70ED0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4C8DF50F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91D63" w14:textId="364B60E1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6B01A076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1D0EF233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59A5B1B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248EF143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3,678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55B0BF51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FAAEB8D" w14:textId="77777777" w:rsidTr="00765F7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75F395AD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3A14" w14:textId="04D05E66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5CA79010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247F7E4D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291EFB5A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206E581F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43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3,678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2536787D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5684A2B" w14:textId="3EA2A066" w:rsidR="002C151A" w:rsidRPr="00AA42FD" w:rsidRDefault="002C151A" w:rsidP="00765F7D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03469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55D4302F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DF4379">
        <w:rPr>
          <w:rFonts w:ascii="Arial" w:eastAsia="Arial" w:hAnsi="Arial" w:cs="Arial"/>
          <w:b/>
          <w:bCs/>
          <w:sz w:val="24"/>
          <w:szCs w:val="24"/>
        </w:rPr>
        <w:t>597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 w:rsidR="00DF4379">
        <w:rPr>
          <w:rFonts w:ascii="Arial" w:hAnsi="Arial" w:cs="Arial"/>
          <w:b/>
          <w:bCs/>
          <w:sz w:val="24"/>
          <w:szCs w:val="24"/>
        </w:rPr>
        <w:t>3,582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6F4EFD49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687646D" w14:textId="2EF041CA" w:rsidR="00AF3BEF" w:rsidRDefault="00AF3BEF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bookmarkStart w:id="2" w:name="_GoBack"/>
      <w:bookmarkEnd w:id="2"/>
    </w:p>
    <w:p w14:paraId="3EDD8B94" w14:textId="2A113C1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358AA0D1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0AB4FF63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5A62295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5850918B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50063E0F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612A7FDB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05F28F46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1A879DB8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5AAAA597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414D9649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16ECF68E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43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3,582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B661EE8" w14:textId="40E6C9FB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03469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06ABB49A" w:rsidR="00D748B7" w:rsidRPr="001D5EA1" w:rsidRDefault="00D0530D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6255C4">
        <w:rPr>
          <w:rFonts w:ascii="Arial" w:hAnsi="Arial" w:cs="Arial"/>
          <w:sz w:val="24"/>
          <w:szCs w:val="24"/>
        </w:rPr>
        <w:t xml:space="preserve"> </w:t>
      </w:r>
      <w:r w:rsidR="00DF4379">
        <w:rPr>
          <w:rFonts w:ascii="Arial" w:hAnsi="Arial" w:cs="Arial"/>
          <w:b/>
          <w:bCs/>
          <w:sz w:val="24"/>
          <w:szCs w:val="24"/>
        </w:rPr>
        <w:t xml:space="preserve">1,210 </w:t>
      </w:r>
      <w:r w:rsidR="00E9006D" w:rsidRPr="00E9006D">
        <w:rPr>
          <w:rFonts w:ascii="Arial" w:hAnsi="Arial" w:cs="Arial"/>
          <w:b/>
          <w:bCs/>
          <w:sz w:val="24"/>
          <w:szCs w:val="24"/>
        </w:rPr>
        <w:t xml:space="preserve">families or </w:t>
      </w:r>
      <w:r w:rsidR="00DF4379">
        <w:rPr>
          <w:rFonts w:ascii="Arial" w:hAnsi="Arial" w:cs="Arial"/>
          <w:b/>
          <w:bCs/>
          <w:sz w:val="24"/>
          <w:szCs w:val="24"/>
        </w:rPr>
        <w:t>7,260</w:t>
      </w:r>
      <w:r w:rsidR="00E9006D" w:rsidRPr="00E9006D">
        <w:rPr>
          <w:rFonts w:ascii="Arial" w:hAnsi="Arial" w:cs="Arial"/>
          <w:b/>
          <w:bCs/>
          <w:sz w:val="24"/>
          <w:szCs w:val="24"/>
        </w:rPr>
        <w:t xml:space="preserve"> persons </w:t>
      </w:r>
      <w:r w:rsidRPr="00D0530D">
        <w:rPr>
          <w:rFonts w:ascii="Arial" w:hAnsi="Arial" w:cs="Arial"/>
          <w:bCs/>
          <w:sz w:val="24"/>
          <w:szCs w:val="24"/>
        </w:rPr>
        <w:t>were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sz w:val="24"/>
          <w:szCs w:val="24"/>
        </w:rPr>
        <w:t xml:space="preserve">displaced in </w:t>
      </w:r>
      <w:proofErr w:type="spellStart"/>
      <w:r w:rsidR="00D03469">
        <w:rPr>
          <w:rFonts w:ascii="Arial" w:eastAsia="Arial" w:hAnsi="Arial" w:cs="Arial"/>
          <w:b/>
          <w:sz w:val="24"/>
          <w:szCs w:val="24"/>
        </w:rPr>
        <w:t>Pikit</w:t>
      </w:r>
      <w:proofErr w:type="spellEnd"/>
      <w:r w:rsidR="00E9006D">
        <w:rPr>
          <w:rFonts w:ascii="Arial" w:eastAsia="Arial" w:hAnsi="Arial" w:cs="Arial"/>
          <w:b/>
          <w:sz w:val="24"/>
          <w:szCs w:val="24"/>
        </w:rPr>
        <w:t>,</w:t>
      </w:r>
      <w:r w:rsidR="00BD2622">
        <w:rPr>
          <w:rFonts w:ascii="Arial" w:eastAsia="Arial" w:hAnsi="Arial" w:cs="Arial"/>
          <w:b/>
          <w:sz w:val="24"/>
          <w:szCs w:val="24"/>
        </w:rPr>
        <w:t xml:space="preserve"> </w:t>
      </w:r>
      <w:r w:rsidR="00D03469">
        <w:rPr>
          <w:rFonts w:ascii="Arial" w:eastAsia="Arial" w:hAnsi="Arial" w:cs="Arial"/>
          <w:b/>
          <w:sz w:val="24"/>
          <w:szCs w:val="24"/>
        </w:rPr>
        <w:t xml:space="preserve">North </w:t>
      </w:r>
      <w:proofErr w:type="spellStart"/>
      <w:r w:rsidR="00D03469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00074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1D5EA1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260E4F13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5A988F26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2C624ECD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3CCAD031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1AC67B0F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23F81CCE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5754F186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0C842319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593358BE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000D3C8E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42E17467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6867B11F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5EA9CF9D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6C5EB438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0D70E075" w:rsidR="00621F47" w:rsidRPr="00621F47" w:rsidRDefault="00D03469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299ED152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33202ABC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007B222A" w:rsidR="00621F47" w:rsidRPr="00621F47" w:rsidRDefault="00DF437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C706B95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774CAEA" w14:textId="4A662FAD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03469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153DF43" w14:textId="77777777" w:rsidR="00CF4CB3" w:rsidRPr="00CF4CB3" w:rsidRDefault="00CF4CB3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EBDDEF0" w14:textId="2AFD316A" w:rsidR="007E4B42" w:rsidRDefault="00E9006D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051E9C58" w14:textId="77777777" w:rsidR="007E4B42" w:rsidRDefault="007E4B42" w:rsidP="007E4B4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EAA1E7" w14:textId="654163B2" w:rsidR="00E9006D" w:rsidRPr="001C4D63" w:rsidRDefault="00E9006D" w:rsidP="00C97AEF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="00AF3BEF" w:rsidRPr="00573E0C">
        <w:rPr>
          <w:rFonts w:ascii="Arial" w:eastAsia="Arial" w:hAnsi="Arial" w:cs="Arial"/>
          <w:b/>
          <w:sz w:val="24"/>
          <w:szCs w:val="24"/>
        </w:rPr>
        <w:t>₱</w:t>
      </w:r>
      <w:r w:rsidR="00BD2622" w:rsidRPr="00BD2622">
        <w:rPr>
          <w:rFonts w:ascii="Arial" w:eastAsia="Arial" w:hAnsi="Arial" w:cs="Arial"/>
          <w:b/>
          <w:sz w:val="24"/>
          <w:szCs w:val="24"/>
        </w:rPr>
        <w:t xml:space="preserve">1,089,00.00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C97AEF">
        <w:rPr>
          <w:rFonts w:ascii="Arial" w:eastAsia="Arial" w:hAnsi="Arial" w:cs="Arial"/>
          <w:sz w:val="24"/>
          <w:szCs w:val="24"/>
        </w:rPr>
        <w:t xml:space="preserve"> by the </w:t>
      </w:r>
      <w:r w:rsidR="00C97AEF">
        <w:rPr>
          <w:rFonts w:ascii="Arial" w:eastAsia="Arial" w:hAnsi="Arial" w:cs="Arial"/>
          <w:b/>
          <w:sz w:val="24"/>
          <w:szCs w:val="24"/>
        </w:rPr>
        <w:t xml:space="preserve">Ministry of Social </w:t>
      </w:r>
      <w:r w:rsidR="00C97AEF" w:rsidRPr="00C97AEF">
        <w:rPr>
          <w:rFonts w:ascii="Arial" w:eastAsia="Arial" w:hAnsi="Arial" w:cs="Arial"/>
          <w:b/>
          <w:sz w:val="24"/>
          <w:szCs w:val="24"/>
        </w:rPr>
        <w:t>Services and Development</w:t>
      </w:r>
      <w:r w:rsidR="00C97AEF">
        <w:rPr>
          <w:rFonts w:ascii="Arial" w:eastAsia="Arial" w:hAnsi="Arial" w:cs="Arial"/>
          <w:b/>
          <w:sz w:val="24"/>
          <w:szCs w:val="24"/>
        </w:rPr>
        <w:t xml:space="preserve"> (MSSD)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4E3F14">
        <w:rPr>
          <w:rFonts w:ascii="Arial" w:eastAsia="Arial" w:hAnsi="Arial" w:cs="Arial"/>
          <w:sz w:val="24"/>
          <w:szCs w:val="24"/>
        </w:rPr>
        <w:t xml:space="preserve">see Table </w:t>
      </w:r>
      <w:r>
        <w:rPr>
          <w:rFonts w:ascii="Arial" w:eastAsia="Arial" w:hAnsi="Arial" w:cs="Arial"/>
          <w:sz w:val="24"/>
          <w:szCs w:val="24"/>
        </w:rPr>
        <w:t>5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052143A" w14:textId="77777777" w:rsidR="00E9006D" w:rsidRPr="00E44B39" w:rsidRDefault="00E9006D" w:rsidP="00E9006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B4B63" w14:textId="5107D182" w:rsidR="00AF3BEF" w:rsidRPr="00AF3BEF" w:rsidRDefault="00E9006D" w:rsidP="00AF3BEF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849"/>
        <w:gridCol w:w="1410"/>
        <w:gridCol w:w="1000"/>
        <w:gridCol w:w="1122"/>
        <w:gridCol w:w="1135"/>
        <w:gridCol w:w="995"/>
        <w:gridCol w:w="1703"/>
      </w:tblGrid>
      <w:tr w:rsidR="00AF3BEF" w:rsidRPr="00573E0C" w14:paraId="60A98423" w14:textId="77777777" w:rsidTr="00C97AEF">
        <w:trPr>
          <w:trHeight w:val="20"/>
        </w:trPr>
        <w:tc>
          <w:tcPr>
            <w:tcW w:w="1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9EACD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177B0" w14:textId="77777777" w:rsidR="00AF3BEF" w:rsidRPr="00573E0C" w:rsidRDefault="00AF3BEF" w:rsidP="00D468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COST OF ASSISTANCE </w:t>
            </w:r>
          </w:p>
        </w:tc>
      </w:tr>
      <w:tr w:rsidR="00C97AEF" w:rsidRPr="00573E0C" w14:paraId="70EDA3F7" w14:textId="77777777" w:rsidTr="00C97AEF">
        <w:trPr>
          <w:trHeight w:val="20"/>
        </w:trPr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D74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C5C3D" w14:textId="5F6240BB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MSSD-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BARMM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27F3F3B5" w14:textId="24BD9A60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9350E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52CCF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4C90F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1FF58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GRAND TOTAL </w:t>
            </w:r>
          </w:p>
        </w:tc>
      </w:tr>
      <w:tr w:rsidR="00C97AEF" w:rsidRPr="00573E0C" w14:paraId="6B098675" w14:textId="77777777" w:rsidTr="00C97AEF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82221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78366" w14:textId="1F97661E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BD2622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1,089,000.00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E023F4E" w14:textId="18D80AD3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35BB7" w14:textId="6396D6F3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26727" w14:textId="45A78E66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C1DAF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B863C" w14:textId="46BF709F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A39CF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1,089,000.00</w:t>
            </w:r>
          </w:p>
        </w:tc>
      </w:tr>
      <w:tr w:rsidR="00C97AEF" w:rsidRPr="00573E0C" w14:paraId="008821D7" w14:textId="77777777" w:rsidTr="00C97AEF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2E76" w14:textId="7C74AFA7" w:rsidR="00C97AEF" w:rsidRPr="00573E0C" w:rsidRDefault="00C97AEF" w:rsidP="00C97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XII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0D981" w14:textId="2EB9749B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D9250B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1,089,000.00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89B5DBB" w14:textId="3324121A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81E2" w14:textId="06AB65D8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EA8B8" w14:textId="480ECA0D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B9115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99E3A" w14:textId="39506C4A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A39CF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1,089,000.00</w:t>
            </w:r>
          </w:p>
        </w:tc>
      </w:tr>
      <w:tr w:rsidR="00C97AEF" w:rsidRPr="00573E0C" w14:paraId="3F418209" w14:textId="77777777" w:rsidTr="00C97AEF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6F7DF" w14:textId="15DDBC8A" w:rsidR="00C97AEF" w:rsidRPr="00573E0C" w:rsidRDefault="00C97AEF" w:rsidP="00C97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Cotabato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117C1" w14:textId="7543DF8E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D9250B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1,089,000.00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1DFD36C" w14:textId="09D733EF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E980E" w14:textId="4EFCAFC5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C3D06" w14:textId="7A6A3D3F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DC8A6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76E5B" w14:textId="5D571545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6A39CF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1,089,000.00</w:t>
            </w:r>
          </w:p>
        </w:tc>
      </w:tr>
      <w:tr w:rsidR="00C97AEF" w:rsidRPr="00573E0C" w14:paraId="3F791728" w14:textId="77777777" w:rsidTr="00C97AEF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592D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7FF3F" w14:textId="7784E01B" w:rsidR="00C97AEF" w:rsidRPr="00573E0C" w:rsidRDefault="00C97AEF" w:rsidP="00C97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Pikit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1782C" w14:textId="1CECFB83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BD2622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1,089,000.00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DCF1" w14:textId="473B5340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3E736" w14:textId="41332F3D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9DE68" w14:textId="58BC82A3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602D0" w14:textId="77777777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6C6E5" w14:textId="3DB01173" w:rsidR="00C97AEF" w:rsidRPr="00573E0C" w:rsidRDefault="00C97AEF" w:rsidP="00C97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BD2622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1,089,000.00</w:t>
            </w:r>
          </w:p>
        </w:tc>
      </w:tr>
    </w:tbl>
    <w:p w14:paraId="5ACB362E" w14:textId="63B9B27E" w:rsidR="004C3FFE" w:rsidRPr="00BD2622" w:rsidRDefault="00E9006D" w:rsidP="00BD262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03469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21AD937B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latest report submitted by </w:t>
      </w:r>
      <w:r w:rsidR="00D0346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BD262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 August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D0346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22AA" w14:textId="77777777" w:rsidR="00E200DE" w:rsidRDefault="00E200DE" w:rsidP="00C12445">
      <w:pPr>
        <w:spacing w:after="0" w:line="240" w:lineRule="auto"/>
      </w:pPr>
      <w:r>
        <w:separator/>
      </w:r>
    </w:p>
  </w:endnote>
  <w:endnote w:type="continuationSeparator" w:id="0">
    <w:p w14:paraId="23B94780" w14:textId="77777777" w:rsidR="00E200DE" w:rsidRDefault="00E200D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E938DB8" w:rsidR="00112FC8" w:rsidRPr="006F547F" w:rsidRDefault="00934599" w:rsidP="00287992">
            <w:pPr>
              <w:pStyle w:val="Footer"/>
              <w:jc w:val="right"/>
              <w:rPr>
                <w:sz w:val="16"/>
                <w:szCs w:val="20"/>
              </w:rPr>
            </w:pPr>
            <w:r w:rsidRPr="00934599">
              <w:rPr>
                <w:sz w:val="16"/>
                <w:szCs w:val="20"/>
              </w:rPr>
              <w:t xml:space="preserve">DSWD DROMIC Terminal Report on the Displacement in </w:t>
            </w:r>
            <w:proofErr w:type="spellStart"/>
            <w:r w:rsidRPr="00934599">
              <w:rPr>
                <w:sz w:val="16"/>
                <w:szCs w:val="20"/>
              </w:rPr>
              <w:t>Brgy</w:t>
            </w:r>
            <w:proofErr w:type="spellEnd"/>
            <w:r w:rsidRPr="00934599">
              <w:rPr>
                <w:sz w:val="16"/>
                <w:szCs w:val="20"/>
              </w:rPr>
              <w:t xml:space="preserve">. </w:t>
            </w:r>
            <w:proofErr w:type="spellStart"/>
            <w:r w:rsidRPr="00934599">
              <w:rPr>
                <w:sz w:val="16"/>
                <w:szCs w:val="20"/>
              </w:rPr>
              <w:t>Kabasalan</w:t>
            </w:r>
            <w:proofErr w:type="spellEnd"/>
            <w:r w:rsidRPr="00934599">
              <w:rPr>
                <w:sz w:val="16"/>
                <w:szCs w:val="20"/>
              </w:rPr>
              <w:t xml:space="preserve">, </w:t>
            </w:r>
            <w:proofErr w:type="spellStart"/>
            <w:r w:rsidRPr="00934599">
              <w:rPr>
                <w:sz w:val="16"/>
                <w:szCs w:val="20"/>
              </w:rPr>
              <w:t>Pikit</w:t>
            </w:r>
            <w:proofErr w:type="spellEnd"/>
            <w:r w:rsidRPr="00934599">
              <w:rPr>
                <w:sz w:val="16"/>
                <w:szCs w:val="20"/>
              </w:rPr>
              <w:t xml:space="preserve">, North </w:t>
            </w:r>
            <w:proofErr w:type="spellStart"/>
            <w:r w:rsidRPr="00934599">
              <w:rPr>
                <w:sz w:val="16"/>
                <w:szCs w:val="20"/>
              </w:rPr>
              <w:t>Cotabato</w:t>
            </w:r>
            <w:proofErr w:type="spellEnd"/>
            <w:r w:rsidR="003D1D86"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="00287992">
              <w:rPr>
                <w:sz w:val="16"/>
                <w:szCs w:val="20"/>
              </w:rPr>
              <w:t>1</w:t>
            </w:r>
            <w:r w:rsidR="003D1D86">
              <w:rPr>
                <w:sz w:val="16"/>
                <w:szCs w:val="20"/>
              </w:rPr>
              <w:t xml:space="preserve"> September</w:t>
            </w:r>
            <w:r w:rsidR="003D1D86" w:rsidRPr="006F547F">
              <w:rPr>
                <w:sz w:val="16"/>
                <w:szCs w:val="20"/>
              </w:rPr>
              <w:t xml:space="preserve"> 2021, 6PM</w:t>
            </w:r>
            <w:r w:rsidR="003D1D86"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97AEF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97AEF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A6DA2" w14:textId="77777777" w:rsidR="00E200DE" w:rsidRDefault="00E200DE" w:rsidP="00C12445">
      <w:pPr>
        <w:spacing w:after="0" w:line="240" w:lineRule="auto"/>
      </w:pPr>
      <w:r>
        <w:separator/>
      </w:r>
    </w:p>
  </w:footnote>
  <w:footnote w:type="continuationSeparator" w:id="0">
    <w:p w14:paraId="1A4CFE30" w14:textId="77777777" w:rsidR="00E200DE" w:rsidRDefault="00E200D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3AF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87992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34599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E2B"/>
    <w:rsid w:val="00BD2622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97AEF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0C6C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4379"/>
    <w:rsid w:val="00DF59C4"/>
    <w:rsid w:val="00E0043D"/>
    <w:rsid w:val="00E11797"/>
    <w:rsid w:val="00E14469"/>
    <w:rsid w:val="00E200DE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A280-9A6D-46C9-9AA0-20E4020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2021-09-10T10:25:00Z</dcterms:created>
  <dcterms:modified xsi:type="dcterms:W3CDTF">2021-09-10T10:25:00Z</dcterms:modified>
</cp:coreProperties>
</file>