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532B5429" w:rsidR="00274C90" w:rsidRPr="000C753A" w:rsidRDefault="002C151A" w:rsidP="002C151A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#3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Pr="002C151A">
        <w:rPr>
          <w:rFonts w:ascii="Arial" w:hAnsi="Arial" w:cs="Arial"/>
          <w:b/>
          <w:sz w:val="32"/>
          <w:szCs w:val="32"/>
        </w:rPr>
        <w:t>Tension Cracks</w:t>
      </w:r>
      <w:r>
        <w:rPr>
          <w:rFonts w:ascii="Arial" w:hAnsi="Arial" w:cs="Arial"/>
          <w:b/>
          <w:sz w:val="32"/>
          <w:szCs w:val="32"/>
        </w:rPr>
        <w:t xml:space="preserve"> due to Impending Landslide in </w:t>
      </w:r>
      <w:proofErr w:type="spellStart"/>
      <w:r w:rsidRPr="002C151A">
        <w:rPr>
          <w:rFonts w:ascii="Arial" w:hAnsi="Arial" w:cs="Arial"/>
          <w:b/>
          <w:sz w:val="32"/>
          <w:szCs w:val="32"/>
        </w:rPr>
        <w:t>Brgy</w:t>
      </w:r>
      <w:proofErr w:type="spellEnd"/>
      <w:r w:rsidRPr="002C151A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2C151A">
        <w:rPr>
          <w:rFonts w:ascii="Arial" w:hAnsi="Arial" w:cs="Arial"/>
          <w:b/>
          <w:sz w:val="32"/>
          <w:szCs w:val="32"/>
        </w:rPr>
        <w:t>Igmasandig</w:t>
      </w:r>
      <w:proofErr w:type="spellEnd"/>
      <w:r w:rsidRPr="002C151A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2C151A">
        <w:rPr>
          <w:rFonts w:ascii="Arial" w:hAnsi="Arial" w:cs="Arial"/>
          <w:b/>
          <w:sz w:val="32"/>
          <w:szCs w:val="32"/>
        </w:rPr>
        <w:t>Valderrama</w:t>
      </w:r>
      <w:proofErr w:type="spellEnd"/>
      <w:r w:rsidRPr="002C151A">
        <w:rPr>
          <w:rFonts w:ascii="Arial" w:hAnsi="Arial" w:cs="Arial"/>
          <w:b/>
          <w:sz w:val="32"/>
          <w:szCs w:val="32"/>
        </w:rPr>
        <w:t>, Antique</w:t>
      </w:r>
    </w:p>
    <w:p w14:paraId="663B3B84" w14:textId="77777777" w:rsidR="00D41206" w:rsidRDefault="00D41206" w:rsidP="00D41206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>
        <w:rPr>
          <w:rFonts w:ascii="Arial" w:eastAsia="Arial" w:hAnsi="Arial" w:cs="Arial"/>
          <w:sz w:val="24"/>
          <w:szCs w:val="24"/>
        </w:rPr>
        <w:t xml:space="preserve"> 22 July</w:t>
      </w:r>
      <w:r w:rsidRPr="00A15EF8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8008B6" w14:textId="48517F0E" w:rsidR="002C151A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10 June 2021 at 5:00 PM, </w:t>
      </w:r>
      <w:r w:rsidRPr="002C151A">
        <w:rPr>
          <w:rFonts w:ascii="Arial" w:eastAsiaTheme="minorHAnsi" w:hAnsi="Arial" w:cs="Arial"/>
          <w:lang w:eastAsia="en-US"/>
        </w:rPr>
        <w:t>Tension Cracks due to Impending Landslide</w:t>
      </w:r>
      <w:r>
        <w:rPr>
          <w:rFonts w:ascii="Arial" w:eastAsiaTheme="minorHAnsi" w:hAnsi="Arial" w:cs="Arial"/>
          <w:lang w:eastAsia="en-US"/>
        </w:rPr>
        <w:t xml:space="preserve"> were</w:t>
      </w:r>
      <w:r w:rsidRPr="002C151A">
        <w:rPr>
          <w:rFonts w:ascii="Arial" w:eastAsiaTheme="minorHAnsi" w:hAnsi="Arial" w:cs="Arial"/>
          <w:lang w:eastAsia="en-US"/>
        </w:rPr>
        <w:t xml:space="preserve"> discovered in </w:t>
      </w:r>
      <w:proofErr w:type="spellStart"/>
      <w:r w:rsidRPr="002C151A">
        <w:rPr>
          <w:rFonts w:ascii="Arial" w:eastAsiaTheme="minorHAnsi" w:hAnsi="Arial" w:cs="Arial"/>
          <w:lang w:eastAsia="en-US"/>
        </w:rPr>
        <w:t>Brgy</w:t>
      </w:r>
      <w:proofErr w:type="spellEnd"/>
      <w:r w:rsidRPr="002C151A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2C151A">
        <w:rPr>
          <w:rFonts w:ascii="Arial" w:eastAsiaTheme="minorHAnsi" w:hAnsi="Arial" w:cs="Arial"/>
          <w:lang w:eastAsia="en-US"/>
        </w:rPr>
        <w:t>Igmasandig</w:t>
      </w:r>
      <w:proofErr w:type="spellEnd"/>
      <w:r w:rsidRPr="002C151A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Pr="002C151A">
        <w:rPr>
          <w:rFonts w:ascii="Arial" w:eastAsiaTheme="minorHAnsi" w:hAnsi="Arial" w:cs="Arial"/>
          <w:lang w:eastAsia="en-US"/>
        </w:rPr>
        <w:t>Valderrama</w:t>
      </w:r>
      <w:proofErr w:type="spellEnd"/>
      <w:r w:rsidRPr="002C151A">
        <w:rPr>
          <w:rFonts w:ascii="Arial" w:eastAsiaTheme="minorHAnsi" w:hAnsi="Arial" w:cs="Arial"/>
          <w:lang w:eastAsia="en-US"/>
        </w:rPr>
        <w:t>, Antique.</w:t>
      </w:r>
    </w:p>
    <w:p w14:paraId="331E47E9" w14:textId="4C86FBF3" w:rsidR="00E0043D" w:rsidRPr="00AA42FD" w:rsidRDefault="002C151A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="00E0043D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16B16AB" w14:textId="77777777" w:rsidR="002C151A" w:rsidRPr="00624314" w:rsidRDefault="002C151A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4314">
        <w:rPr>
          <w:rFonts w:ascii="Arial" w:eastAsia="Arial" w:hAnsi="Arial" w:cs="Arial"/>
          <w:sz w:val="24"/>
          <w:szCs w:val="24"/>
        </w:rPr>
        <w:t>A total of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95 families</w:t>
      </w:r>
      <w:r w:rsidRPr="00624314">
        <w:rPr>
          <w:rFonts w:ascii="Arial" w:eastAsia="Arial" w:hAnsi="Arial" w:cs="Arial"/>
          <w:sz w:val="24"/>
          <w:szCs w:val="24"/>
        </w:rPr>
        <w:t xml:space="preserve"> or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324 persons</w:t>
      </w:r>
      <w:r w:rsidRPr="00624314">
        <w:rPr>
          <w:rFonts w:ascii="Arial" w:eastAsia="Arial" w:hAnsi="Arial" w:cs="Arial"/>
          <w:sz w:val="24"/>
          <w:szCs w:val="24"/>
        </w:rPr>
        <w:t xml:space="preserve"> were affected by the Tension Cracks due to Impending Landslide in</w:t>
      </w:r>
      <w:r w:rsidRPr="00624314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624314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Pr="00624314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Pr="00624314">
        <w:rPr>
          <w:rFonts w:ascii="Arial" w:eastAsia="Arial" w:hAnsi="Arial" w:cs="Arial"/>
          <w:b/>
          <w:sz w:val="24"/>
          <w:szCs w:val="24"/>
        </w:rPr>
        <w:t>Igmasandig</w:t>
      </w:r>
      <w:proofErr w:type="spellEnd"/>
      <w:r w:rsidRPr="00624314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Pr="00624314">
        <w:rPr>
          <w:rFonts w:ascii="Arial" w:eastAsia="Arial" w:hAnsi="Arial" w:cs="Arial"/>
          <w:b/>
          <w:sz w:val="24"/>
          <w:szCs w:val="24"/>
        </w:rPr>
        <w:t>Valderrama</w:t>
      </w:r>
      <w:proofErr w:type="spellEnd"/>
      <w:r w:rsidRPr="00624314">
        <w:rPr>
          <w:rFonts w:ascii="Arial" w:eastAsia="Arial" w:hAnsi="Arial" w:cs="Arial"/>
          <w:b/>
          <w:sz w:val="24"/>
          <w:szCs w:val="24"/>
        </w:rPr>
        <w:t xml:space="preserve">, Antique </w:t>
      </w:r>
      <w:r w:rsidRPr="00624314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7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4"/>
        <w:gridCol w:w="1917"/>
        <w:gridCol w:w="1261"/>
        <w:gridCol w:w="1254"/>
      </w:tblGrid>
      <w:tr w:rsidR="002C151A" w:rsidRPr="00641FAE" w14:paraId="1DB44B69" w14:textId="77777777" w:rsidTr="002C151A">
        <w:trPr>
          <w:trHeight w:val="20"/>
        </w:trPr>
        <w:tc>
          <w:tcPr>
            <w:tcW w:w="25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40D94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9AE65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2C151A" w:rsidRPr="00641FAE" w14:paraId="775961EC" w14:textId="77777777" w:rsidTr="002C151A">
        <w:trPr>
          <w:trHeight w:val="20"/>
        </w:trPr>
        <w:tc>
          <w:tcPr>
            <w:tcW w:w="25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DB225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F55C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7B92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D963C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C151A" w:rsidRPr="00641FAE" w14:paraId="75D96DF7" w14:textId="77777777" w:rsidTr="002C151A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E8AAE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F713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60C7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E9A11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C151A" w:rsidRPr="00641FAE" w14:paraId="4B444492" w14:textId="77777777" w:rsidTr="002C151A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C9D3C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8CE0E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5BEF5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BAEF9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C151A" w:rsidRPr="00641FAE" w14:paraId="5E3C37FB" w14:textId="77777777" w:rsidTr="002C151A">
        <w:trPr>
          <w:trHeight w:val="20"/>
        </w:trPr>
        <w:tc>
          <w:tcPr>
            <w:tcW w:w="2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78522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3900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6920F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E3A37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324</w:t>
            </w: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C151A" w:rsidRPr="00641FAE" w14:paraId="2062E4C9" w14:textId="77777777" w:rsidTr="002C151A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7685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B9A17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35306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4F1F4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329AE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324</w:t>
            </w: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A6F6194" w14:textId="77777777" w:rsidR="00D41206" w:rsidRPr="00D748B7" w:rsidRDefault="00D41206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41EA9995" w:rsidR="00D41206" w:rsidRPr="00E0043D" w:rsidRDefault="00D41206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2C151A">
        <w:rPr>
          <w:rFonts w:ascii="Arial" w:eastAsia="Arial" w:hAnsi="Arial" w:cs="Arial"/>
          <w:i/>
          <w:color w:val="0070C0"/>
          <w:sz w:val="16"/>
        </w:rPr>
        <w:t>Source: DSWD-FO V</w:t>
      </w:r>
      <w:r w:rsidR="002C151A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17459898" w14:textId="77777777" w:rsidR="002C151A" w:rsidRPr="002C151A" w:rsidRDefault="002C151A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 w:rsidRPr="002C151A">
        <w:rPr>
          <w:rFonts w:ascii="Arial" w:hAnsi="Arial" w:cs="Arial"/>
          <w:bCs/>
          <w:sz w:val="24"/>
          <w:szCs w:val="24"/>
        </w:rPr>
        <w:t>There are</w:t>
      </w:r>
      <w:r w:rsidRPr="002C15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51A">
        <w:rPr>
          <w:rFonts w:ascii="Arial" w:eastAsia="Arial" w:hAnsi="Arial" w:cs="Arial"/>
          <w:b/>
          <w:sz w:val="24"/>
          <w:szCs w:val="24"/>
        </w:rPr>
        <w:t>47 families</w:t>
      </w:r>
      <w:r w:rsidRPr="002C151A">
        <w:rPr>
          <w:rFonts w:ascii="Arial" w:eastAsia="Arial" w:hAnsi="Arial" w:cs="Arial"/>
          <w:sz w:val="24"/>
          <w:szCs w:val="24"/>
        </w:rPr>
        <w:t xml:space="preserve"> or</w:t>
      </w:r>
      <w:r w:rsidRPr="002C151A">
        <w:rPr>
          <w:rFonts w:ascii="Arial" w:eastAsia="Arial" w:hAnsi="Arial" w:cs="Arial"/>
          <w:b/>
          <w:sz w:val="24"/>
          <w:szCs w:val="24"/>
        </w:rPr>
        <w:t xml:space="preserve"> 153 persons</w:t>
      </w:r>
      <w:r w:rsidRPr="002C151A">
        <w:rPr>
          <w:rFonts w:ascii="Arial" w:eastAsia="Arial" w:hAnsi="Arial" w:cs="Arial"/>
          <w:sz w:val="24"/>
          <w:szCs w:val="24"/>
        </w:rPr>
        <w:t xml:space="preserve"> </w:t>
      </w:r>
      <w:r w:rsidRPr="002C151A">
        <w:rPr>
          <w:rFonts w:ascii="Arial" w:hAnsi="Arial" w:cs="Arial"/>
          <w:sz w:val="24"/>
          <w:szCs w:val="24"/>
        </w:rPr>
        <w:t>currently taking temporary shelter in</w:t>
      </w:r>
      <w:r w:rsidRPr="002C151A">
        <w:rPr>
          <w:rFonts w:ascii="Arial" w:hAnsi="Arial" w:cs="Arial"/>
          <w:b/>
          <w:sz w:val="24"/>
          <w:szCs w:val="24"/>
        </w:rPr>
        <w:t xml:space="preserve"> two (2) </w:t>
      </w:r>
      <w:r w:rsidRPr="002C151A">
        <w:rPr>
          <w:rFonts w:ascii="Arial" w:hAnsi="Arial" w:cs="Arial"/>
          <w:b/>
          <w:bCs/>
          <w:sz w:val="24"/>
          <w:szCs w:val="24"/>
        </w:rPr>
        <w:t xml:space="preserve">Evacuation Centers in </w:t>
      </w:r>
      <w:proofErr w:type="spellStart"/>
      <w:r w:rsidRPr="002C151A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Pr="002C151A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2C151A">
        <w:rPr>
          <w:rFonts w:ascii="Arial" w:hAnsi="Arial" w:cs="Arial"/>
          <w:b/>
          <w:bCs/>
          <w:sz w:val="24"/>
          <w:szCs w:val="24"/>
        </w:rPr>
        <w:t>Ubos</w:t>
      </w:r>
      <w:proofErr w:type="spellEnd"/>
      <w:r w:rsidRPr="002C151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C151A">
        <w:rPr>
          <w:rFonts w:ascii="Arial" w:hAnsi="Arial" w:cs="Arial"/>
          <w:b/>
          <w:bCs/>
          <w:sz w:val="24"/>
          <w:szCs w:val="24"/>
        </w:rPr>
        <w:t>Poblacion</w:t>
      </w:r>
      <w:proofErr w:type="spellEnd"/>
      <w:r w:rsidRPr="002C151A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2C151A">
        <w:rPr>
          <w:rFonts w:ascii="Arial" w:hAnsi="Arial" w:cs="Arial"/>
          <w:b/>
          <w:bCs/>
          <w:sz w:val="24"/>
          <w:szCs w:val="24"/>
        </w:rPr>
        <w:t>Valderrama</w:t>
      </w:r>
      <w:proofErr w:type="spellEnd"/>
      <w:r w:rsidRPr="002C15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C151A">
        <w:rPr>
          <w:rFonts w:ascii="Arial" w:hAnsi="Arial" w:cs="Arial"/>
          <w:sz w:val="24"/>
          <w:szCs w:val="24"/>
        </w:rPr>
        <w:t xml:space="preserve">(see Table 2). </w:t>
      </w:r>
    </w:p>
    <w:p w14:paraId="71E0A40D" w14:textId="77777777" w:rsidR="00D41206" w:rsidRDefault="00D41206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23904CD7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456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983"/>
        <w:gridCol w:w="989"/>
        <w:gridCol w:w="987"/>
        <w:gridCol w:w="990"/>
        <w:gridCol w:w="987"/>
        <w:gridCol w:w="978"/>
      </w:tblGrid>
      <w:tr w:rsidR="002C151A" w:rsidRPr="002C151A" w14:paraId="735C8C8F" w14:textId="77777777" w:rsidTr="002C151A">
        <w:trPr>
          <w:trHeight w:val="20"/>
        </w:trPr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80C1C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5507B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D755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C151A" w:rsidRPr="002C151A" w14:paraId="3A24C3F9" w14:textId="77777777" w:rsidTr="002C151A">
        <w:trPr>
          <w:trHeight w:val="20"/>
        </w:trPr>
        <w:tc>
          <w:tcPr>
            <w:tcW w:w="1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93BF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446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8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22E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C151A" w:rsidRPr="002C151A" w14:paraId="05D886D3" w14:textId="77777777" w:rsidTr="002C151A">
        <w:trPr>
          <w:trHeight w:val="20"/>
        </w:trPr>
        <w:tc>
          <w:tcPr>
            <w:tcW w:w="1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E8F2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B5C50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13F14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D02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C151A" w:rsidRPr="002C151A" w14:paraId="14A6767D" w14:textId="77777777" w:rsidTr="002C151A">
        <w:trPr>
          <w:trHeight w:val="20"/>
        </w:trPr>
        <w:tc>
          <w:tcPr>
            <w:tcW w:w="1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07EB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1B635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0869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79969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50EE3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8E7B7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E3BBD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C151A" w:rsidRPr="002C151A" w14:paraId="0A431FCD" w14:textId="77777777" w:rsidTr="002C151A">
        <w:trPr>
          <w:trHeight w:val="20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C4F0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1CE63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780E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A29E9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6CEB9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6B71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7BEE4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</w:t>
            </w:r>
          </w:p>
        </w:tc>
      </w:tr>
      <w:tr w:rsidR="002C151A" w:rsidRPr="002C151A" w14:paraId="33FCE4F5" w14:textId="77777777" w:rsidTr="002C151A">
        <w:trPr>
          <w:trHeight w:val="20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7AF53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DD14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D3621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80F5B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221CE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AE81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7F4EC0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2C151A" w:rsidRPr="002C151A" w14:paraId="268A0803" w14:textId="77777777" w:rsidTr="002C151A">
        <w:trPr>
          <w:trHeight w:val="20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8503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B07B4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3728A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CC35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47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DFF04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2E57C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A9746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153</w:t>
            </w:r>
          </w:p>
        </w:tc>
      </w:tr>
      <w:tr w:rsidR="002C151A" w:rsidRPr="002C151A" w14:paraId="5F440DEF" w14:textId="77777777" w:rsidTr="002C151A">
        <w:trPr>
          <w:trHeight w:val="20"/>
        </w:trPr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21BAE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ABB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46C96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69FEA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C3BA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89D1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9E932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153</w:t>
            </w:r>
          </w:p>
        </w:tc>
      </w:tr>
    </w:tbl>
    <w:p w14:paraId="45F62C79" w14:textId="77777777" w:rsidR="00E0043D" w:rsidRPr="00D748B7" w:rsidRDefault="00E0043D" w:rsidP="00E0043D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5684A2B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0CF51B7A" w14:textId="77777777" w:rsidR="00B65458" w:rsidRPr="000C753A" w:rsidRDefault="00B65458" w:rsidP="00061D74">
      <w:pPr>
        <w:spacing w:after="0" w:line="240" w:lineRule="auto"/>
        <w:ind w:right="27"/>
        <w:contextualSpacing/>
        <w:jc w:val="center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3CAAE290" w14:textId="6AC19E2F" w:rsidR="00D41206" w:rsidRPr="00D41206" w:rsidRDefault="00D41206" w:rsidP="00D41206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41206">
        <w:rPr>
          <w:rFonts w:ascii="Arial" w:hAnsi="Arial" w:cs="Arial"/>
          <w:b/>
          <w:sz w:val="24"/>
          <w:szCs w:val="24"/>
        </w:rPr>
        <w:t>Outside Evacuation Centers</w:t>
      </w:r>
    </w:p>
    <w:p w14:paraId="02DD501E" w14:textId="77777777" w:rsidR="00333C2B" w:rsidRDefault="00333C2B" w:rsidP="00D41206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B69DAEF" w14:textId="5ED75AD0" w:rsidR="002C151A" w:rsidRPr="002C151A" w:rsidRDefault="002C151A" w:rsidP="002C151A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sz w:val="24"/>
          <w:szCs w:val="24"/>
        </w:rPr>
      </w:pPr>
      <w:r w:rsidRPr="002C151A">
        <w:rPr>
          <w:rFonts w:ascii="Arial" w:eastAsia="Arial" w:hAnsi="Arial" w:cs="Arial"/>
          <w:sz w:val="24"/>
          <w:szCs w:val="24"/>
        </w:rPr>
        <w:t>There are</w:t>
      </w:r>
      <w:r w:rsidRPr="002C151A">
        <w:rPr>
          <w:rFonts w:ascii="Arial" w:eastAsia="Arial" w:hAnsi="Arial" w:cs="Arial"/>
          <w:b/>
          <w:sz w:val="24"/>
          <w:szCs w:val="24"/>
        </w:rPr>
        <w:t xml:space="preserve"> </w:t>
      </w:r>
      <w:r w:rsidRPr="002C151A">
        <w:rPr>
          <w:rFonts w:ascii="Arial" w:hAnsi="Arial" w:cs="Arial"/>
          <w:b/>
          <w:bCs/>
          <w:sz w:val="24"/>
          <w:szCs w:val="24"/>
        </w:rPr>
        <w:t>48 families</w:t>
      </w:r>
      <w:r w:rsidRPr="002C151A">
        <w:rPr>
          <w:rFonts w:ascii="Arial" w:eastAsia="Arial" w:hAnsi="Arial" w:cs="Arial"/>
          <w:sz w:val="24"/>
          <w:szCs w:val="24"/>
        </w:rPr>
        <w:t xml:space="preserve"> or </w:t>
      </w:r>
      <w:r w:rsidRPr="002C151A">
        <w:rPr>
          <w:rFonts w:ascii="Arial" w:hAnsi="Arial" w:cs="Arial"/>
          <w:b/>
          <w:bCs/>
          <w:sz w:val="24"/>
          <w:szCs w:val="24"/>
        </w:rPr>
        <w:t>161 persons</w:t>
      </w:r>
      <w:r w:rsidRPr="002C15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temporarily staying</w:t>
      </w:r>
      <w:r w:rsidRPr="002C151A">
        <w:rPr>
          <w:rFonts w:ascii="Arial" w:eastAsia="Arial" w:hAnsi="Arial" w:cs="Arial"/>
          <w:sz w:val="24"/>
          <w:szCs w:val="24"/>
        </w:rPr>
        <w:t xml:space="preserve"> with their relatives and/or friends (see Table 3). </w:t>
      </w:r>
    </w:p>
    <w:p w14:paraId="7B361A1D" w14:textId="0A4439FC" w:rsidR="00D41206" w:rsidRDefault="00D41206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76711DA3" w14:textId="1DE557E9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026A549F" w14:textId="7CA7E46F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4FF38297" w14:textId="4A21E618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1184F433" w14:textId="53171B6B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3883ABB7" w14:textId="77777777" w:rsidR="00E0043D" w:rsidRDefault="00E0043D" w:rsidP="00D41206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76B7D7C5" w:rsidR="00D41206" w:rsidRPr="00D748B7" w:rsidRDefault="00D41206" w:rsidP="00D41206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509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1240"/>
        <w:gridCol w:w="1240"/>
        <w:gridCol w:w="1240"/>
        <w:gridCol w:w="1235"/>
      </w:tblGrid>
      <w:tr w:rsidR="002C151A" w:rsidRPr="002C151A" w14:paraId="127BFFFC" w14:textId="77777777" w:rsidTr="002C151A">
        <w:trPr>
          <w:trHeight w:val="20"/>
          <w:tblHeader/>
        </w:trPr>
        <w:tc>
          <w:tcPr>
            <w:tcW w:w="2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25FF4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7CCE3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C151A" w:rsidRPr="002C151A" w14:paraId="79D664F4" w14:textId="77777777" w:rsidTr="002C151A">
        <w:trPr>
          <w:trHeight w:val="20"/>
          <w:tblHeader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8123B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0374D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2C151A" w:rsidRPr="002C151A" w14:paraId="3A0262C5" w14:textId="77777777" w:rsidTr="002C151A">
        <w:trPr>
          <w:trHeight w:val="20"/>
          <w:tblHeader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D8A2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2793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1464B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C151A" w:rsidRPr="002C151A" w14:paraId="5B8220A7" w14:textId="77777777" w:rsidTr="002C151A">
        <w:trPr>
          <w:trHeight w:val="20"/>
          <w:tblHeader/>
        </w:trPr>
        <w:tc>
          <w:tcPr>
            <w:tcW w:w="2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3E9E6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0D73A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D882A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D80A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9F3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C151A" w:rsidRPr="002C151A" w14:paraId="0457D99E" w14:textId="77777777" w:rsidTr="002C151A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B8381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0C7B9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AF892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ED640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E2D9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161 </w:t>
            </w:r>
          </w:p>
        </w:tc>
      </w:tr>
      <w:tr w:rsidR="002C151A" w:rsidRPr="002C151A" w14:paraId="4348A0D5" w14:textId="77777777" w:rsidTr="002C151A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43B1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CDAF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A2E1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372C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AC4E67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2C151A" w:rsidRPr="002C151A" w14:paraId="1B9462D4" w14:textId="77777777" w:rsidTr="002C151A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ED5E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20165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AC7C27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38C68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CE3A02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  <w:tr w:rsidR="002C151A" w:rsidRPr="002C151A" w14:paraId="2CB4F86D" w14:textId="77777777" w:rsidTr="002C151A">
        <w:trPr>
          <w:trHeight w:val="20"/>
        </w:trPr>
        <w:tc>
          <w:tcPr>
            <w:tcW w:w="2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01B7C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B2DED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DBAAF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A064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90DD9" w14:textId="77777777" w:rsidR="002C151A" w:rsidRPr="002C151A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color w:val="000000"/>
                <w:sz w:val="20"/>
                <w:szCs w:val="20"/>
              </w:rPr>
              <w:t>161</w:t>
            </w:r>
          </w:p>
        </w:tc>
      </w:tr>
    </w:tbl>
    <w:p w14:paraId="347E92CB" w14:textId="77777777" w:rsidR="00E0043D" w:rsidRPr="00D748B7" w:rsidRDefault="00E0043D" w:rsidP="00E0043D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1B661EE8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1E090FDE" w14:textId="77777777" w:rsidR="00D41206" w:rsidRDefault="00D41206" w:rsidP="00D4120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E330CD0" w14:textId="5D0B8563" w:rsidR="00DA2693" w:rsidRPr="00D70AB5" w:rsidRDefault="00DA2693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4BFAA726" w14:textId="77777777" w:rsidR="00333C2B" w:rsidRDefault="00333C2B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7370490B" w14:textId="0834E6B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D748B7">
        <w:rPr>
          <w:rFonts w:ascii="Arial" w:hAnsi="Arial" w:cs="Arial"/>
          <w:sz w:val="24"/>
          <w:szCs w:val="24"/>
        </w:rPr>
        <w:t xml:space="preserve">A total of </w:t>
      </w:r>
      <w:r w:rsidR="002C151A">
        <w:rPr>
          <w:rFonts w:ascii="Arial" w:hAnsi="Arial" w:cs="Arial"/>
          <w:b/>
          <w:bCs/>
          <w:color w:val="0070C0"/>
          <w:sz w:val="24"/>
          <w:szCs w:val="24"/>
        </w:rPr>
        <w:t>95</w:t>
      </w:r>
      <w:r w:rsidR="00112F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or </w:t>
      </w:r>
      <w:r w:rsidR="002C151A">
        <w:rPr>
          <w:rFonts w:ascii="Arial" w:hAnsi="Arial" w:cs="Arial"/>
          <w:b/>
          <w:bCs/>
          <w:color w:val="0070C0"/>
          <w:sz w:val="24"/>
          <w:szCs w:val="24"/>
        </w:rPr>
        <w:t>314</w:t>
      </w:r>
      <w:r w:rsidR="00112FC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Pr="00D748B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748B7">
        <w:rPr>
          <w:rFonts w:ascii="Arial" w:hAnsi="Arial" w:cs="Arial"/>
          <w:sz w:val="24"/>
          <w:szCs w:val="24"/>
        </w:rPr>
        <w:t xml:space="preserve">are displaced in </w:t>
      </w:r>
      <w:proofErr w:type="spellStart"/>
      <w:r w:rsidR="002C151A" w:rsidRPr="002C151A">
        <w:rPr>
          <w:rFonts w:ascii="Arial" w:hAnsi="Arial" w:cs="Arial"/>
          <w:b/>
          <w:bCs/>
          <w:color w:val="0070C0"/>
          <w:sz w:val="24"/>
          <w:szCs w:val="24"/>
        </w:rPr>
        <w:t>Valderrama</w:t>
      </w:r>
      <w:proofErr w:type="spellEnd"/>
      <w:r w:rsidR="002C151A" w:rsidRPr="002C151A">
        <w:rPr>
          <w:rFonts w:ascii="Arial" w:hAnsi="Arial" w:cs="Arial"/>
          <w:b/>
          <w:bCs/>
          <w:color w:val="0070C0"/>
          <w:sz w:val="24"/>
          <w:szCs w:val="24"/>
        </w:rPr>
        <w:t>, Antique</w:t>
      </w:r>
      <w:r w:rsidR="005A242E">
        <w:rPr>
          <w:rFonts w:ascii="Arial" w:hAnsi="Arial" w:cs="Arial"/>
          <w:sz w:val="24"/>
          <w:szCs w:val="24"/>
        </w:rPr>
        <w:t xml:space="preserve"> (see Table 4).</w:t>
      </w:r>
    </w:p>
    <w:p w14:paraId="35AF1073" w14:textId="77777777" w:rsidR="00D748B7" w:rsidRPr="00D748B7" w:rsidRDefault="00D748B7" w:rsidP="00061D74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1816E385" w14:textId="79E3F863" w:rsidR="00D748B7" w:rsidRP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4. Total Number of Displaced Families / Persons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9"/>
        <w:gridCol w:w="1130"/>
        <w:gridCol w:w="1130"/>
        <w:gridCol w:w="1130"/>
        <w:gridCol w:w="1126"/>
      </w:tblGrid>
      <w:tr w:rsidR="002C151A" w:rsidRPr="002C151A" w14:paraId="5CAA0205" w14:textId="77777777" w:rsidTr="002C151A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A998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616EB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2C151A" w:rsidRPr="002C151A" w14:paraId="36756E4E" w14:textId="77777777" w:rsidTr="002C151A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730E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68F84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C93F8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C151A" w:rsidRPr="002C151A" w14:paraId="3BDCA06D" w14:textId="77777777" w:rsidTr="002C151A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7EAD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929C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A2365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2C151A" w:rsidRPr="002C151A" w14:paraId="623BA923" w14:textId="77777777" w:rsidTr="002C151A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3B0F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D708A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3198C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811A3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964C5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C151A" w:rsidRPr="002C151A" w14:paraId="1A96E848" w14:textId="77777777" w:rsidTr="002C151A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75E9B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2132" w14:textId="57DFB6D4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7608C" w14:textId="341A19F0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F9C1F" w14:textId="75C7B8A0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5331D" w14:textId="32579CC9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C151A" w:rsidRPr="002C151A" w14:paraId="4B2D4637" w14:textId="77777777" w:rsidTr="00A66738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9D8AA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9C8AC" w14:textId="0BD52F7E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4634C" w14:textId="0F40E687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23B45" w14:textId="40980843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6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885AF" w14:textId="71113A4D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6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</w:tr>
      <w:tr w:rsidR="002C151A" w:rsidRPr="002C151A" w14:paraId="463F785A" w14:textId="77777777" w:rsidTr="00A66738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B9C4D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F42A" w14:textId="65ED6378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BFF4" w14:textId="58AEFAA8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D6E589" w14:textId="473D7E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6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06FD7" w14:textId="5AE0C6F5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6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314</w:t>
            </w:r>
          </w:p>
        </w:tc>
      </w:tr>
      <w:tr w:rsidR="002C151A" w:rsidRPr="002C151A" w14:paraId="4F527685" w14:textId="77777777" w:rsidTr="002C151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E83E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25A4D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F3C9F" w14:textId="7F77355F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59B3D" w14:textId="0A18A91A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</w:t>
            </w: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1808D" w14:textId="795C1692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314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D71C5" w14:textId="7C6C7E1C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314</w:t>
            </w:r>
          </w:p>
        </w:tc>
      </w:tr>
    </w:tbl>
    <w:p w14:paraId="698BE612" w14:textId="11FBC042" w:rsidR="00D748B7" w:rsidRPr="00D748B7" w:rsidRDefault="00D748B7" w:rsidP="00061D74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3514860" w14:textId="7642580D" w:rsidR="001A2814" w:rsidRPr="002C151A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6F77DC3C" w:rsidR="00333C2B" w:rsidRDefault="00333C2B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E519EE7" w14:textId="77777777" w:rsidR="00333C2B" w:rsidRDefault="00333C2B" w:rsidP="00333C2B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3854A2E" w14:textId="2D88FE7B" w:rsidR="002C151A" w:rsidRPr="00086220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6220">
        <w:rPr>
          <w:rFonts w:ascii="Arial" w:eastAsia="Arial" w:hAnsi="Arial" w:cs="Arial"/>
          <w:sz w:val="24"/>
          <w:szCs w:val="24"/>
        </w:rPr>
        <w:t>A total of</w:t>
      </w:r>
      <w:r w:rsidRPr="00086220">
        <w:rPr>
          <w:rFonts w:ascii="Arial" w:eastAsia="Arial" w:hAnsi="Arial" w:cs="Arial"/>
          <w:b/>
          <w:sz w:val="24"/>
          <w:szCs w:val="24"/>
        </w:rPr>
        <w:t xml:space="preserve"> 89 houses </w:t>
      </w:r>
      <w:r w:rsidRPr="00086220">
        <w:rPr>
          <w:rFonts w:ascii="Arial" w:eastAsia="Arial" w:hAnsi="Arial" w:cs="Arial"/>
          <w:sz w:val="24"/>
          <w:szCs w:val="24"/>
        </w:rPr>
        <w:t xml:space="preserve">were damaged; of which, </w:t>
      </w:r>
      <w:r w:rsidRPr="00086220">
        <w:rPr>
          <w:rFonts w:ascii="Arial" w:eastAsia="Arial" w:hAnsi="Arial" w:cs="Arial"/>
          <w:b/>
          <w:sz w:val="24"/>
          <w:szCs w:val="24"/>
        </w:rPr>
        <w:t>57</w:t>
      </w:r>
      <w:r w:rsidRPr="00086220">
        <w:rPr>
          <w:rFonts w:ascii="Arial" w:eastAsia="Arial" w:hAnsi="Arial" w:cs="Arial"/>
          <w:sz w:val="24"/>
          <w:szCs w:val="24"/>
        </w:rPr>
        <w:t xml:space="preserve"> were </w:t>
      </w:r>
      <w:r w:rsidRPr="00086220">
        <w:rPr>
          <w:rFonts w:ascii="Arial" w:eastAsia="Arial" w:hAnsi="Arial" w:cs="Arial"/>
          <w:b/>
          <w:sz w:val="24"/>
          <w:szCs w:val="24"/>
        </w:rPr>
        <w:t>totally</w:t>
      </w:r>
      <w:r w:rsidRPr="00086220">
        <w:rPr>
          <w:rFonts w:ascii="Arial" w:eastAsia="Arial" w:hAnsi="Arial" w:cs="Arial"/>
          <w:sz w:val="24"/>
          <w:szCs w:val="24"/>
        </w:rPr>
        <w:t xml:space="preserve"> </w:t>
      </w:r>
      <w:r w:rsidRPr="00086220">
        <w:rPr>
          <w:rFonts w:ascii="Arial" w:eastAsia="Arial" w:hAnsi="Arial" w:cs="Arial"/>
          <w:b/>
          <w:sz w:val="24"/>
          <w:szCs w:val="24"/>
        </w:rPr>
        <w:t>damaged</w:t>
      </w:r>
      <w:r w:rsidRPr="00086220">
        <w:rPr>
          <w:rFonts w:ascii="Arial" w:eastAsia="Arial" w:hAnsi="Arial" w:cs="Arial"/>
          <w:sz w:val="24"/>
          <w:szCs w:val="24"/>
        </w:rPr>
        <w:t xml:space="preserve"> and </w:t>
      </w:r>
      <w:r w:rsidRPr="00086220">
        <w:rPr>
          <w:rFonts w:ascii="Arial" w:eastAsia="Arial" w:hAnsi="Arial" w:cs="Arial"/>
          <w:b/>
          <w:sz w:val="24"/>
          <w:szCs w:val="24"/>
        </w:rPr>
        <w:t>32</w:t>
      </w:r>
      <w:r w:rsidRPr="00086220">
        <w:rPr>
          <w:rFonts w:ascii="Arial" w:eastAsia="Arial" w:hAnsi="Arial" w:cs="Arial"/>
          <w:sz w:val="24"/>
          <w:szCs w:val="24"/>
        </w:rPr>
        <w:t xml:space="preserve"> were </w:t>
      </w:r>
      <w:r w:rsidRPr="00086220">
        <w:rPr>
          <w:rFonts w:ascii="Arial" w:eastAsia="Arial" w:hAnsi="Arial" w:cs="Arial"/>
          <w:b/>
          <w:sz w:val="24"/>
          <w:szCs w:val="24"/>
        </w:rPr>
        <w:t>partially</w:t>
      </w:r>
      <w:r w:rsidRPr="00086220">
        <w:rPr>
          <w:rFonts w:ascii="Arial" w:eastAsia="Arial" w:hAnsi="Arial" w:cs="Arial"/>
          <w:sz w:val="24"/>
          <w:szCs w:val="24"/>
        </w:rPr>
        <w:t xml:space="preserve"> </w:t>
      </w:r>
      <w:r w:rsidRPr="00086220">
        <w:rPr>
          <w:rFonts w:ascii="Arial" w:eastAsia="Arial" w:hAnsi="Arial" w:cs="Arial"/>
          <w:b/>
          <w:sz w:val="24"/>
          <w:szCs w:val="24"/>
        </w:rPr>
        <w:t>damaged</w:t>
      </w:r>
      <w:r w:rsidRPr="00086220">
        <w:rPr>
          <w:rFonts w:ascii="Arial" w:eastAsia="Arial" w:hAnsi="Arial" w:cs="Arial"/>
          <w:sz w:val="24"/>
          <w:szCs w:val="24"/>
        </w:rPr>
        <w:t xml:space="preserve"> (Table </w:t>
      </w:r>
      <w:r>
        <w:rPr>
          <w:rFonts w:ascii="Arial" w:eastAsia="Arial" w:hAnsi="Arial" w:cs="Arial"/>
          <w:sz w:val="24"/>
          <w:szCs w:val="24"/>
        </w:rPr>
        <w:t>4</w:t>
      </w:r>
      <w:r w:rsidRPr="00086220">
        <w:rPr>
          <w:rFonts w:ascii="Arial" w:eastAsia="Arial" w:hAnsi="Arial" w:cs="Arial"/>
          <w:sz w:val="24"/>
          <w:szCs w:val="24"/>
        </w:rPr>
        <w:t>).</w:t>
      </w:r>
    </w:p>
    <w:p w14:paraId="4FA1E6D7" w14:textId="77777777" w:rsidR="00333C2B" w:rsidRPr="00333C2B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77777777" w:rsidR="00333C2B" w:rsidRPr="00333C2B" w:rsidRDefault="00333C2B" w:rsidP="00333C2B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4. Number of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333C2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333C2B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4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949"/>
        <w:gridCol w:w="1350"/>
        <w:gridCol w:w="1350"/>
        <w:gridCol w:w="1358"/>
      </w:tblGrid>
      <w:tr w:rsidR="002C151A" w:rsidRPr="00641FAE" w14:paraId="5B5F813E" w14:textId="77777777" w:rsidTr="002C151A">
        <w:trPr>
          <w:trHeight w:val="20"/>
        </w:trPr>
        <w:tc>
          <w:tcPr>
            <w:tcW w:w="2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67E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887D3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2C151A" w:rsidRPr="00641FAE" w14:paraId="6947CB59" w14:textId="77777777" w:rsidTr="002C151A">
        <w:trPr>
          <w:trHeight w:val="20"/>
        </w:trPr>
        <w:tc>
          <w:tcPr>
            <w:tcW w:w="2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E0E52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86816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DD70E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FFD5D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C151A" w:rsidRPr="00641FAE" w14:paraId="5BF16A6C" w14:textId="77777777" w:rsidTr="002C151A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10B20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46C6A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01BA3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13A2C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2C151A" w:rsidRPr="00641FAE" w14:paraId="25C15A10" w14:textId="77777777" w:rsidTr="002C151A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C932A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69B9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C71F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DA0DF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2C151A" w:rsidRPr="00641FAE" w14:paraId="041CC84D" w14:textId="77777777" w:rsidTr="002C151A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8E37E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C1DC8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F66A9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2358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32 </w:t>
            </w:r>
          </w:p>
        </w:tc>
      </w:tr>
      <w:tr w:rsidR="002C151A" w:rsidRPr="00641FAE" w14:paraId="499E25EA" w14:textId="77777777" w:rsidTr="002C151A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CEB4B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B7FDC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4ECD2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89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DFC38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57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D893" w14:textId="77777777" w:rsidR="002C151A" w:rsidRPr="00641FAE" w:rsidRDefault="002C151A" w:rsidP="00181DF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41FA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32 </w:t>
            </w:r>
          </w:p>
        </w:tc>
      </w:tr>
    </w:tbl>
    <w:p w14:paraId="11CE74DB" w14:textId="41BF04DE" w:rsidR="00E0043D" w:rsidRPr="008F02A9" w:rsidRDefault="00E0043D" w:rsidP="00BA3B63">
      <w:pPr>
        <w:spacing w:after="0" w:line="240" w:lineRule="auto"/>
        <w:ind w:firstLine="709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 w:rsidR="00BA3B6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A3B63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 continuously</w:t>
      </w: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14:paraId="7EF2F5D9" w14:textId="77777777" w:rsidR="002C151A" w:rsidRPr="00AA42FD" w:rsidRDefault="002C151A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</w:t>
      </w:r>
      <w:r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3774CAEA" w14:textId="77777777" w:rsidR="00E0043D" w:rsidRDefault="00E0043D" w:rsidP="00333C2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7431872" w14:textId="4E23112E" w:rsidR="004C7388" w:rsidRPr="004208E9" w:rsidRDefault="00D10A86" w:rsidP="00061D74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2670195D" w14:textId="77777777" w:rsidR="00D16926" w:rsidRDefault="00D16926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86F71A9" w14:textId="400E6546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2C151A">
        <w:rPr>
          <w:rFonts w:ascii="Arial" w:eastAsia="Arial" w:hAnsi="Arial" w:cs="Arial"/>
          <w:b/>
          <w:color w:val="0070C0"/>
          <w:sz w:val="24"/>
          <w:szCs w:val="24"/>
        </w:rPr>
        <w:t xml:space="preserve">1,213,756.10 </w:t>
      </w:r>
      <w:r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 w:rsidRPr="002C151A">
        <w:rPr>
          <w:rFonts w:ascii="Arial" w:eastAsia="Arial" w:hAnsi="Arial" w:cs="Arial"/>
          <w:b/>
          <w:sz w:val="24"/>
          <w:szCs w:val="24"/>
        </w:rPr>
        <w:t xml:space="preserve">₱435,953.10 </w:t>
      </w:r>
      <w:r w:rsidRPr="002C151A">
        <w:rPr>
          <w:rFonts w:ascii="Arial" w:eastAsia="Arial" w:hAnsi="Arial" w:cs="Arial"/>
          <w:sz w:val="24"/>
          <w:szCs w:val="24"/>
        </w:rPr>
        <w:t xml:space="preserve">was provided by </w:t>
      </w:r>
      <w:r w:rsidRPr="002C151A">
        <w:rPr>
          <w:rFonts w:ascii="Arial" w:eastAsia="Arial" w:hAnsi="Arial" w:cs="Arial"/>
          <w:b/>
          <w:sz w:val="24"/>
          <w:szCs w:val="24"/>
        </w:rPr>
        <w:t>DSWD</w:t>
      </w:r>
      <w:r w:rsidRPr="002C151A">
        <w:rPr>
          <w:rFonts w:ascii="Arial" w:eastAsia="Arial" w:hAnsi="Arial" w:cs="Arial"/>
          <w:sz w:val="24"/>
          <w:szCs w:val="24"/>
        </w:rPr>
        <w:t xml:space="preserve">, </w:t>
      </w:r>
      <w:r w:rsidRPr="002C151A">
        <w:rPr>
          <w:rFonts w:ascii="Arial" w:eastAsia="Arial" w:hAnsi="Arial" w:cs="Arial"/>
          <w:b/>
          <w:sz w:val="24"/>
          <w:szCs w:val="24"/>
        </w:rPr>
        <w:t xml:space="preserve">₱63,171.00 </w:t>
      </w:r>
      <w:r w:rsidRPr="002C151A">
        <w:rPr>
          <w:rFonts w:ascii="Arial" w:eastAsia="Arial" w:hAnsi="Arial" w:cs="Arial"/>
          <w:sz w:val="24"/>
          <w:szCs w:val="24"/>
        </w:rPr>
        <w:t xml:space="preserve">was provided by the </w:t>
      </w:r>
      <w:r w:rsidRPr="002C151A">
        <w:rPr>
          <w:rFonts w:ascii="Arial" w:eastAsia="Arial" w:hAnsi="Arial" w:cs="Arial"/>
          <w:b/>
          <w:sz w:val="24"/>
          <w:szCs w:val="24"/>
        </w:rPr>
        <w:t>LGUs</w:t>
      </w:r>
      <w:r w:rsidRPr="002C151A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64A3B" w:rsidRPr="00F64A3B">
        <w:rPr>
          <w:rFonts w:ascii="Arial" w:eastAsia="Arial" w:hAnsi="Arial" w:cs="Arial"/>
          <w:b/>
          <w:color w:val="0070C0"/>
          <w:sz w:val="24"/>
          <w:szCs w:val="24"/>
        </w:rPr>
        <w:t xml:space="preserve">714,632.00 </w:t>
      </w:r>
      <w:r>
        <w:rPr>
          <w:rFonts w:ascii="Arial" w:eastAsia="Arial" w:hAnsi="Arial" w:cs="Arial"/>
          <w:sz w:val="24"/>
          <w:szCs w:val="24"/>
        </w:rPr>
        <w:t xml:space="preserve">was provided by other </w:t>
      </w:r>
      <w:proofErr w:type="spellStart"/>
      <w:r w:rsidR="00F64A3B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Partners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see Table 5).</w:t>
      </w:r>
    </w:p>
    <w:p w14:paraId="3CD01A7B" w14:textId="77777777" w:rsidR="00D748B7" w:rsidRPr="00D748B7" w:rsidRDefault="00D748B7" w:rsidP="00061D74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A6C94A" w14:textId="77777777" w:rsidR="002C151A" w:rsidRDefault="002C151A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8CE96CD" w14:textId="77777777" w:rsidR="002C151A" w:rsidRDefault="002C151A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14E57FD" w14:textId="77777777" w:rsidR="002C151A" w:rsidRDefault="002C151A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1C3B12D6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lastRenderedPageBreak/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8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4"/>
        <w:gridCol w:w="1371"/>
        <w:gridCol w:w="1184"/>
        <w:gridCol w:w="782"/>
        <w:gridCol w:w="1144"/>
        <w:gridCol w:w="1572"/>
      </w:tblGrid>
      <w:tr w:rsidR="002C151A" w:rsidRPr="002C151A" w14:paraId="61CDBB6D" w14:textId="77777777" w:rsidTr="002C151A">
        <w:trPr>
          <w:trHeight w:val="43"/>
        </w:trPr>
        <w:tc>
          <w:tcPr>
            <w:tcW w:w="1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A256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B7F42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C151A" w:rsidRPr="002C151A" w14:paraId="2C484BF8" w14:textId="77777777" w:rsidTr="002C151A">
        <w:trPr>
          <w:trHeight w:val="20"/>
        </w:trPr>
        <w:tc>
          <w:tcPr>
            <w:tcW w:w="1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25D1F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6A1F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2E47A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40585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49A0E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6E3A7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C151A" w:rsidRPr="002C151A" w14:paraId="6B6F17DA" w14:textId="77777777" w:rsidTr="002C151A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98CEA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FF6BA" w14:textId="6C56B8E6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91204" w14:textId="7DC66019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63,171.00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4F222" w14:textId="6BF2058A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9AB31" w14:textId="3263FAEB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714,632.00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92A0E" w14:textId="79DD2A67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1,213,756.10 </w:t>
            </w:r>
          </w:p>
        </w:tc>
      </w:tr>
      <w:tr w:rsidR="002C151A" w:rsidRPr="002C151A" w14:paraId="33EF1792" w14:textId="77777777" w:rsidTr="002C151A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2EBF3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29687" w14:textId="3062BC91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59D4D" w14:textId="368F815F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63,171.00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047CC" w14:textId="0EC028A9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391E" w14:textId="48D88A16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714,632.00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F3632" w14:textId="45BF7EB3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1,213,756.10 </w:t>
            </w:r>
          </w:p>
        </w:tc>
      </w:tr>
      <w:tr w:rsidR="002C151A" w:rsidRPr="002C151A" w14:paraId="66041F68" w14:textId="77777777" w:rsidTr="002C151A">
        <w:trPr>
          <w:trHeight w:val="20"/>
        </w:trPr>
        <w:tc>
          <w:tcPr>
            <w:tcW w:w="1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81C18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ABFAE" w14:textId="295EC1A3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435,953.10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2C89" w14:textId="6E0AE508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63,171.00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151B3" w14:textId="04FC1E79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7EFE9" w14:textId="376603C2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714,632.00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B73BE" w14:textId="5CFB4DF6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1,213,756.10 </w:t>
            </w:r>
          </w:p>
        </w:tc>
      </w:tr>
      <w:tr w:rsidR="002C151A" w:rsidRPr="002C151A" w14:paraId="65657C22" w14:textId="77777777" w:rsidTr="002C151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5BB63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2A04D" w14:textId="77777777" w:rsidR="002C151A" w:rsidRPr="002C151A" w:rsidRDefault="002C151A" w:rsidP="002C15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C93EC" w14:textId="08AF8CE2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435,953.10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9894" w14:textId="123459A5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63,171.00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1496B" w14:textId="6BDF10D9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A7E09" w14:textId="61D63A95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714,632.00 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1C54" w14:textId="5484A591" w:rsidR="002C151A" w:rsidRPr="002C151A" w:rsidRDefault="002C151A" w:rsidP="002C15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C151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1,213,756.10 </w:t>
            </w:r>
          </w:p>
        </w:tc>
      </w:tr>
    </w:tbl>
    <w:p w14:paraId="54546B25" w14:textId="39180109" w:rsidR="00E0043D" w:rsidRPr="002C151A" w:rsidRDefault="00E0043D" w:rsidP="002C15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 w:rsidR="002C151A">
        <w:rPr>
          <w:rFonts w:ascii="Arial" w:eastAsia="Arial" w:hAnsi="Arial" w:cs="Arial"/>
          <w:i/>
          <w:color w:val="0070C0"/>
          <w:sz w:val="16"/>
        </w:rPr>
        <w:t>Source: DSWD-FO V</w:t>
      </w:r>
      <w:r w:rsidR="002C151A" w:rsidRPr="00AA42FD">
        <w:rPr>
          <w:rFonts w:ascii="Arial" w:eastAsia="Arial" w:hAnsi="Arial" w:cs="Arial"/>
          <w:i/>
          <w:color w:val="0070C0"/>
          <w:sz w:val="16"/>
        </w:rPr>
        <w:t>I</w:t>
      </w:r>
    </w:p>
    <w:p w14:paraId="52F18B74" w14:textId="77777777" w:rsidR="00D05772" w:rsidRDefault="00D05772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061D74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A279C04" w14:textId="77777777" w:rsidR="00443495" w:rsidRPr="000C753A" w:rsidRDefault="00443495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Food and Non-Food Items (NFIs)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213F1EFD" w14:textId="350FC28B" w:rsidR="002043C6" w:rsidRPr="00BA3B63" w:rsidRDefault="00BA3B63" w:rsidP="00BA3B6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A3B63">
        <w:rPr>
          <w:rFonts w:ascii="Arial" w:hAnsi="Arial" w:cs="Arial"/>
          <w:sz w:val="24"/>
          <w:szCs w:val="24"/>
        </w:rPr>
        <w:t>DSWD-FO VI provided family food packs, hygiene kits and sleeping kits to the affected families.</w:t>
      </w:r>
    </w:p>
    <w:p w14:paraId="4ECB0BFE" w14:textId="418E5923" w:rsidR="00BE4C96" w:rsidRPr="000C753A" w:rsidRDefault="00BE4C96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Internally Displaced Person (IDP) </w:t>
      </w:r>
      <w:r w:rsidR="00A201C6">
        <w:rPr>
          <w:rFonts w:ascii="Arial" w:hAnsi="Arial" w:cs="Arial"/>
          <w:b/>
          <w:sz w:val="24"/>
          <w:szCs w:val="24"/>
        </w:rPr>
        <w:t>Protection</w:t>
      </w:r>
    </w:p>
    <w:p w14:paraId="5E97F1F4" w14:textId="77777777" w:rsidR="00BE4C96" w:rsidRPr="000C753A" w:rsidRDefault="00BE4C96" w:rsidP="00061D74">
      <w:pPr>
        <w:pStyle w:val="NoSpacing"/>
        <w:tabs>
          <w:tab w:val="left" w:pos="1080"/>
          <w:tab w:val="left" w:pos="1170"/>
        </w:tabs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67CF9ED" w14:textId="3A10F6D6" w:rsidR="00BA3B63" w:rsidRPr="00BA3B63" w:rsidRDefault="00BA3B63" w:rsidP="00BA3B6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A3B63">
        <w:rPr>
          <w:rFonts w:ascii="Arial" w:eastAsia="Arial" w:hAnsi="Arial" w:cs="Arial"/>
          <w:sz w:val="24"/>
          <w:szCs w:val="24"/>
        </w:rPr>
        <w:t>The National Housing Authority committed that they will assist the 95 displaced families by providing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A3B63">
        <w:rPr>
          <w:rFonts w:ascii="Arial" w:eastAsia="Arial" w:hAnsi="Arial" w:cs="Arial"/>
          <w:sz w:val="24"/>
          <w:szCs w:val="24"/>
        </w:rPr>
        <w:t xml:space="preserve">temporary housing shelters while the Local Government of </w:t>
      </w:r>
      <w:proofErr w:type="spellStart"/>
      <w:r w:rsidRPr="00BA3B63">
        <w:rPr>
          <w:rFonts w:ascii="Arial" w:eastAsia="Arial" w:hAnsi="Arial" w:cs="Arial"/>
          <w:sz w:val="24"/>
          <w:szCs w:val="24"/>
        </w:rPr>
        <w:t>Valderrama</w:t>
      </w:r>
      <w:proofErr w:type="spellEnd"/>
      <w:r w:rsidRPr="00BA3B63">
        <w:rPr>
          <w:rFonts w:ascii="Arial" w:eastAsia="Arial" w:hAnsi="Arial" w:cs="Arial"/>
          <w:sz w:val="24"/>
          <w:szCs w:val="24"/>
        </w:rPr>
        <w:t xml:space="preserve"> is still looking for areas 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BA3B63">
        <w:rPr>
          <w:rFonts w:ascii="Arial" w:eastAsia="Arial" w:hAnsi="Arial" w:cs="Arial"/>
          <w:sz w:val="24"/>
          <w:szCs w:val="24"/>
        </w:rPr>
        <w:t xml:space="preserve">purchase for the planned permanent relocation site of the displaced families of </w:t>
      </w:r>
      <w:proofErr w:type="spellStart"/>
      <w:r w:rsidRPr="00BA3B63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BA3B6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BA3B63">
        <w:rPr>
          <w:rFonts w:ascii="Arial" w:eastAsia="Arial" w:hAnsi="Arial" w:cs="Arial"/>
          <w:sz w:val="24"/>
          <w:szCs w:val="24"/>
        </w:rPr>
        <w:t>Igm</w:t>
      </w:r>
      <w:r w:rsidR="007F45FC">
        <w:rPr>
          <w:rFonts w:ascii="Arial" w:eastAsia="Arial" w:hAnsi="Arial" w:cs="Arial"/>
          <w:sz w:val="24"/>
          <w:szCs w:val="24"/>
        </w:rPr>
        <w:t>a</w:t>
      </w:r>
      <w:r w:rsidRPr="00BA3B63">
        <w:rPr>
          <w:rFonts w:ascii="Arial" w:eastAsia="Arial" w:hAnsi="Arial" w:cs="Arial"/>
          <w:sz w:val="24"/>
          <w:szCs w:val="24"/>
        </w:rPr>
        <w:t>sandig</w:t>
      </w:r>
      <w:proofErr w:type="spellEnd"/>
      <w:r w:rsidRPr="00BA3B6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BA3B63">
        <w:rPr>
          <w:rFonts w:ascii="Arial" w:eastAsia="Arial" w:hAnsi="Arial" w:cs="Arial"/>
          <w:sz w:val="24"/>
          <w:szCs w:val="24"/>
        </w:rPr>
        <w:t>Valderrama</w:t>
      </w:r>
      <w:proofErr w:type="spellEnd"/>
      <w:r w:rsidRPr="00BA3B63">
        <w:rPr>
          <w:rFonts w:ascii="Arial" w:eastAsia="Arial" w:hAnsi="Arial" w:cs="Arial"/>
          <w:sz w:val="24"/>
          <w:szCs w:val="24"/>
        </w:rPr>
        <w:t>, Antique.</w:t>
      </w:r>
    </w:p>
    <w:p w14:paraId="42435945" w14:textId="6681D969" w:rsidR="002043C6" w:rsidRDefault="002043C6" w:rsidP="002043C6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268B53FD" w14:textId="77777777" w:rsidR="00BA3B63" w:rsidRPr="000C753A" w:rsidRDefault="00BA3B63" w:rsidP="00BA3B63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 xml:space="preserve">Other Activities </w:t>
      </w:r>
      <w:bookmarkStart w:id="2" w:name="_GoBack"/>
      <w:bookmarkEnd w:id="2"/>
    </w:p>
    <w:p w14:paraId="4A21E61A" w14:textId="77777777" w:rsidR="00BA3B63" w:rsidRPr="000C753A" w:rsidRDefault="00BA3B63" w:rsidP="00BA3B63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BA3B63" w14:paraId="780164C7" w14:textId="77777777" w:rsidTr="00181DFE">
        <w:trPr>
          <w:tblHeader/>
        </w:trPr>
        <w:tc>
          <w:tcPr>
            <w:tcW w:w="2160" w:type="dxa"/>
          </w:tcPr>
          <w:p w14:paraId="11856171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82" w:type="dxa"/>
          </w:tcPr>
          <w:p w14:paraId="44F7F867" w14:textId="77777777" w:rsidR="00BA3B63" w:rsidRPr="00D93B6A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3B6A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BA3B63" w14:paraId="1E9B4B4B" w14:textId="77777777" w:rsidTr="00181DFE">
        <w:tc>
          <w:tcPr>
            <w:tcW w:w="2160" w:type="dxa"/>
          </w:tcPr>
          <w:p w14:paraId="68840C91" w14:textId="4DF4269B" w:rsidR="00BA3B63" w:rsidRDefault="00BA3B63" w:rsidP="00181DFE">
            <w:pPr>
              <w:pStyle w:val="NoSpacing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July 2021</w:t>
            </w:r>
          </w:p>
        </w:tc>
        <w:tc>
          <w:tcPr>
            <w:tcW w:w="6682" w:type="dxa"/>
          </w:tcPr>
          <w:p w14:paraId="5D492E50" w14:textId="77777777" w:rsidR="00BA3B63" w:rsidRDefault="00BA3B63" w:rsidP="00BA3B6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</w:rPr>
              <w:t xml:space="preserve">DSWD-FO VI provided </w:t>
            </w:r>
            <w:r>
              <w:rPr>
                <w:rFonts w:ascii="Arial" w:hAnsi="Arial" w:cs="Arial"/>
                <w:sz w:val="24"/>
                <w:szCs w:val="24"/>
              </w:rPr>
              <w:t xml:space="preserve">financial assistance through the </w:t>
            </w:r>
            <w:r w:rsidRPr="00B66FF5">
              <w:rPr>
                <w:rFonts w:ascii="Arial" w:hAnsi="Arial" w:cs="Arial"/>
                <w:sz w:val="24"/>
                <w:szCs w:val="24"/>
              </w:rPr>
              <w:t>Assistance to Individuals in Crisis Si</w:t>
            </w:r>
            <w:r>
              <w:rPr>
                <w:rFonts w:ascii="Arial" w:hAnsi="Arial" w:cs="Arial"/>
                <w:sz w:val="24"/>
                <w:szCs w:val="24"/>
              </w:rPr>
              <w:t>tuation (AICS) amounting to ₱</w:t>
            </w:r>
            <w:r w:rsidRPr="00B66FF5">
              <w:rPr>
                <w:rFonts w:ascii="Arial" w:hAnsi="Arial" w:cs="Arial"/>
                <w:sz w:val="24"/>
                <w:szCs w:val="24"/>
              </w:rPr>
              <w:t>475,000 to the affected families.</w:t>
            </w:r>
          </w:p>
          <w:p w14:paraId="6E9EAD23" w14:textId="77777777" w:rsidR="00BA3B63" w:rsidRDefault="00BA3B63" w:rsidP="00BA3B6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6FF5">
              <w:rPr>
                <w:rFonts w:ascii="Arial" w:hAnsi="Arial" w:cs="Arial"/>
                <w:sz w:val="24"/>
                <w:szCs w:val="24"/>
              </w:rPr>
              <w:t>DSWD-FO VI provided technical assistance on DROMIC Report Writing.</w:t>
            </w:r>
          </w:p>
          <w:p w14:paraId="2CE314A2" w14:textId="6CA377AA" w:rsidR="00BA3B63" w:rsidRPr="00BA3B63" w:rsidRDefault="00BA3B63" w:rsidP="00BA3B63">
            <w:pPr>
              <w:pStyle w:val="NoSpacing"/>
              <w:numPr>
                <w:ilvl w:val="0"/>
                <w:numId w:val="31"/>
              </w:numPr>
              <w:ind w:left="38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A3B63">
              <w:rPr>
                <w:rFonts w:ascii="Arial" w:hAnsi="Arial" w:cs="Arial"/>
                <w:sz w:val="24"/>
                <w:szCs w:val="24"/>
              </w:rPr>
              <w:t>Private individuals and groups continue to provided hot meals, medicines and other snacks. Aside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B63">
              <w:rPr>
                <w:rFonts w:ascii="Arial" w:hAnsi="Arial" w:cs="Arial"/>
                <w:sz w:val="24"/>
                <w:szCs w:val="24"/>
              </w:rPr>
              <w:t>from the DOH and TESDA, recently other government agencies also provided assistance in form 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B63">
              <w:rPr>
                <w:rFonts w:ascii="Arial" w:hAnsi="Arial" w:cs="Arial"/>
                <w:sz w:val="24"/>
                <w:szCs w:val="24"/>
              </w:rPr>
              <w:t>goods and cash to the affected families: PDEA, Office of the Vice Governor of Antique and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3B63">
              <w:rPr>
                <w:rFonts w:ascii="Arial" w:hAnsi="Arial" w:cs="Arial"/>
                <w:sz w:val="24"/>
                <w:szCs w:val="24"/>
              </w:rPr>
              <w:t>League of Councilors – Antique Chapter.</w:t>
            </w:r>
          </w:p>
        </w:tc>
      </w:tr>
    </w:tbl>
    <w:p w14:paraId="6DCA58D7" w14:textId="77777777" w:rsidR="00BA3B63" w:rsidRDefault="00BA3B63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086F9CD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2C151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1C7D11" w14:textId="77777777" w:rsidR="0085601D" w:rsidRDefault="0085601D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5846DCDB" w:rsidR="002C151A" w:rsidRPr="008F6E9B" w:rsidRDefault="002C151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DE2ABC9" w:rsidR="007F2E58" w:rsidRPr="00D23BDC" w:rsidRDefault="002043C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142C1" w14:textId="77777777" w:rsidR="00590814" w:rsidRDefault="00590814" w:rsidP="00C12445">
      <w:pPr>
        <w:spacing w:after="0" w:line="240" w:lineRule="auto"/>
      </w:pPr>
      <w:r>
        <w:separator/>
      </w:r>
    </w:p>
  </w:endnote>
  <w:endnote w:type="continuationSeparator" w:id="0">
    <w:p w14:paraId="5FCDB7DC" w14:textId="77777777" w:rsidR="00590814" w:rsidRDefault="00590814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2F967CD" w:rsidR="00112FC8" w:rsidRPr="002B518B" w:rsidRDefault="002043C6" w:rsidP="002B518B">
            <w:pPr>
              <w:pStyle w:val="Footer"/>
              <w:jc w:val="right"/>
              <w:rPr>
                <w:sz w:val="20"/>
                <w:szCs w:val="20"/>
              </w:rPr>
            </w:pPr>
            <w:r w:rsidRPr="002043C6">
              <w:rPr>
                <w:sz w:val="16"/>
                <w:szCs w:val="20"/>
              </w:rPr>
              <w:t>DSWD DROMIC Report #</w:t>
            </w:r>
            <w:r w:rsidR="002C151A" w:rsidRPr="002C151A">
              <w:rPr>
                <w:sz w:val="16"/>
                <w:szCs w:val="20"/>
              </w:rPr>
              <w:t xml:space="preserve">3 Tension Cracks due to Impending Landslide in </w:t>
            </w:r>
            <w:proofErr w:type="spellStart"/>
            <w:r w:rsidR="002C151A" w:rsidRPr="002C151A">
              <w:rPr>
                <w:sz w:val="16"/>
                <w:szCs w:val="20"/>
              </w:rPr>
              <w:t>Brgy</w:t>
            </w:r>
            <w:proofErr w:type="spellEnd"/>
            <w:r w:rsidR="002C151A" w:rsidRPr="002C151A">
              <w:rPr>
                <w:sz w:val="16"/>
                <w:szCs w:val="20"/>
              </w:rPr>
              <w:t xml:space="preserve">. </w:t>
            </w:r>
            <w:proofErr w:type="spellStart"/>
            <w:r w:rsidR="002C151A" w:rsidRPr="002C151A">
              <w:rPr>
                <w:sz w:val="16"/>
                <w:szCs w:val="20"/>
              </w:rPr>
              <w:t>Igmasandig</w:t>
            </w:r>
            <w:proofErr w:type="spellEnd"/>
            <w:r w:rsidR="002C151A" w:rsidRPr="002C151A">
              <w:rPr>
                <w:sz w:val="16"/>
                <w:szCs w:val="20"/>
              </w:rPr>
              <w:t xml:space="preserve">, </w:t>
            </w:r>
            <w:proofErr w:type="spellStart"/>
            <w:r w:rsidR="002C151A" w:rsidRPr="002C151A">
              <w:rPr>
                <w:sz w:val="16"/>
                <w:szCs w:val="20"/>
              </w:rPr>
              <w:t>Valderrama</w:t>
            </w:r>
            <w:proofErr w:type="spellEnd"/>
            <w:r w:rsidR="002C151A" w:rsidRPr="002C151A">
              <w:rPr>
                <w:sz w:val="16"/>
                <w:szCs w:val="20"/>
              </w:rPr>
              <w:t xml:space="preserve">, Antique </w:t>
            </w:r>
            <w:r w:rsidRPr="002043C6">
              <w:rPr>
                <w:sz w:val="16"/>
                <w:szCs w:val="20"/>
              </w:rPr>
              <w:t xml:space="preserve">as of 22 July 2021, 6PM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F45FC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F45FC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F8403" w14:textId="77777777" w:rsidR="00590814" w:rsidRDefault="00590814" w:rsidP="00C12445">
      <w:pPr>
        <w:spacing w:after="0" w:line="240" w:lineRule="auto"/>
      </w:pPr>
      <w:r>
        <w:separator/>
      </w:r>
    </w:p>
  </w:footnote>
  <w:footnote w:type="continuationSeparator" w:id="0">
    <w:p w14:paraId="07AF81F9" w14:textId="77777777" w:rsidR="00590814" w:rsidRDefault="00590814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6"/>
  </w:num>
  <w:num w:numId="5">
    <w:abstractNumId w:val="19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0"/>
  </w:num>
  <w:num w:numId="12">
    <w:abstractNumId w:val="18"/>
  </w:num>
  <w:num w:numId="13">
    <w:abstractNumId w:val="30"/>
  </w:num>
  <w:num w:numId="14">
    <w:abstractNumId w:val="23"/>
  </w:num>
  <w:num w:numId="15">
    <w:abstractNumId w:val="10"/>
  </w:num>
  <w:num w:numId="16">
    <w:abstractNumId w:val="28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9"/>
  </w:num>
  <w:num w:numId="22">
    <w:abstractNumId w:val="29"/>
  </w:num>
  <w:num w:numId="23">
    <w:abstractNumId w:val="27"/>
  </w:num>
  <w:num w:numId="24">
    <w:abstractNumId w:val="5"/>
  </w:num>
  <w:num w:numId="25">
    <w:abstractNumId w:val="8"/>
  </w:num>
  <w:num w:numId="26">
    <w:abstractNumId w:val="1"/>
  </w:num>
  <w:num w:numId="27">
    <w:abstractNumId w:val="31"/>
  </w:num>
  <w:num w:numId="28">
    <w:abstractNumId w:val="3"/>
  </w:num>
  <w:num w:numId="29">
    <w:abstractNumId w:val="32"/>
  </w:num>
  <w:num w:numId="30">
    <w:abstractNumId w:val="16"/>
  </w:num>
  <w:num w:numId="31">
    <w:abstractNumId w:val="15"/>
  </w:num>
  <w:num w:numId="32">
    <w:abstractNumId w:val="12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57CC"/>
    <w:rsid w:val="00057189"/>
    <w:rsid w:val="00061D74"/>
    <w:rsid w:val="0006355B"/>
    <w:rsid w:val="0008449C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D97"/>
    <w:rsid w:val="00105454"/>
    <w:rsid w:val="00112FC8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986"/>
    <w:rsid w:val="004E0597"/>
    <w:rsid w:val="004E0B17"/>
    <w:rsid w:val="004E1C60"/>
    <w:rsid w:val="004F05DE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0814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6029CC"/>
    <w:rsid w:val="0061301A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F2E58"/>
    <w:rsid w:val="007F426E"/>
    <w:rsid w:val="007F45FC"/>
    <w:rsid w:val="007F5F08"/>
    <w:rsid w:val="0080412B"/>
    <w:rsid w:val="008153ED"/>
    <w:rsid w:val="00832FE7"/>
    <w:rsid w:val="00834EF4"/>
    <w:rsid w:val="00844A6E"/>
    <w:rsid w:val="0085601D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2771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201C6"/>
    <w:rsid w:val="00A33265"/>
    <w:rsid w:val="00A52A8B"/>
    <w:rsid w:val="00A537BA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3569"/>
    <w:rsid w:val="00BA03D5"/>
    <w:rsid w:val="00BA3B63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21486-97CA-4BD3-A621-FFBB01AE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3</cp:revision>
  <cp:lastPrinted>2021-07-05T02:11:00Z</cp:lastPrinted>
  <dcterms:created xsi:type="dcterms:W3CDTF">2021-07-22T07:18:00Z</dcterms:created>
  <dcterms:modified xsi:type="dcterms:W3CDTF">2021-07-22T07:47:00Z</dcterms:modified>
</cp:coreProperties>
</file>