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68D0E9B6" w:rsidR="002706F0" w:rsidRPr="00FE7C33" w:rsidRDefault="003C61C6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714CF3">
        <w:rPr>
          <w:rFonts w:ascii="Arial" w:hAnsi="Arial" w:cs="Arial"/>
          <w:b/>
          <w:sz w:val="32"/>
          <w:szCs w:val="24"/>
        </w:rPr>
        <w:t>1</w:t>
      </w:r>
      <w:r w:rsidR="006D1582">
        <w:rPr>
          <w:rFonts w:ascii="Arial" w:hAnsi="Arial" w:cs="Arial"/>
          <w:b/>
          <w:sz w:val="32"/>
          <w:szCs w:val="24"/>
        </w:rPr>
        <w:t>1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7990D600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B06A09">
        <w:rPr>
          <w:rFonts w:ascii="Arial" w:eastAsia="Arial" w:hAnsi="Arial" w:cs="Arial"/>
          <w:sz w:val="24"/>
          <w:szCs w:val="24"/>
        </w:rPr>
        <w:t>2</w:t>
      </w:r>
      <w:r w:rsidR="006D1582">
        <w:rPr>
          <w:rFonts w:ascii="Arial" w:eastAsia="Arial" w:hAnsi="Arial" w:cs="Arial"/>
          <w:sz w:val="24"/>
          <w:szCs w:val="24"/>
        </w:rPr>
        <w:t>2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2F75552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0DCEB6" w14:textId="6786E2DC" w:rsidR="00F94C1D" w:rsidRPr="008221EB" w:rsidRDefault="00431C07" w:rsidP="008221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07 September 2021, “Kiko” entered the Philippine Area of Responsibility (PAR) and </w:t>
      </w:r>
      <w:r w:rsidR="0033485B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>
        <w:rPr>
          <w:rFonts w:ascii="Arial" w:eastAsia="Calibri" w:hAnsi="Arial" w:cs="Arial"/>
          <w:bCs/>
          <w:sz w:val="24"/>
          <w:szCs w:val="24"/>
        </w:rPr>
        <w:t>r 2021, Typhoon “Kiko” continued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485B" w:rsidRPr="0033485B">
        <w:rPr>
          <w:rFonts w:ascii="Arial" w:eastAsia="Calibri" w:hAnsi="Arial" w:cs="Arial"/>
          <w:bCs/>
          <w:sz w:val="24"/>
          <w:szCs w:val="24"/>
        </w:rPr>
        <w:t>to weaken while moving over the coa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stal waters of Itbayat, Batanes bringing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heavy to intense with at times torrential rains over Batanes. Moderate to heavy with at times intense rains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Ilocos Norte, Ilocos Sur, Abra, Apayao, Kalinga, and Benguet. Under these conditions, scattered to widespread flooding (including flash floods) and rain-induced landslides </w:t>
      </w:r>
      <w:r w:rsidR="00686D83">
        <w:rPr>
          <w:rFonts w:ascii="Arial" w:eastAsia="Calibri" w:hAnsi="Arial" w:cs="Arial"/>
          <w:bCs/>
          <w:sz w:val="24"/>
          <w:szCs w:val="24"/>
        </w:rPr>
        <w:t>were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C07">
        <w:rPr>
          <w:rFonts w:ascii="Arial" w:eastAsia="Calibri" w:hAnsi="Arial" w:cs="Arial"/>
          <w:bCs/>
          <w:sz w:val="24"/>
          <w:szCs w:val="24"/>
        </w:rPr>
        <w:t>Typhoon “KIKO” continue</w:t>
      </w:r>
      <w:r w:rsidR="00686D83">
        <w:rPr>
          <w:rFonts w:ascii="Arial" w:eastAsia="Calibri" w:hAnsi="Arial" w:cs="Arial"/>
          <w:bCs/>
          <w:sz w:val="24"/>
          <w:szCs w:val="24"/>
        </w:rPr>
        <w:t>d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Ilocos Region, and the western sections of Cent</w:t>
      </w:r>
      <w:r w:rsidR="008221EB">
        <w:rPr>
          <w:rFonts w:ascii="Arial" w:eastAsia="Calibri" w:hAnsi="Arial" w:cs="Arial"/>
          <w:bCs/>
          <w:sz w:val="24"/>
          <w:szCs w:val="24"/>
        </w:rPr>
        <w:t>ral Luzon and Southern Luzon. On 1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2 September 2021, “KIKO” </w:t>
      </w:r>
      <w:r w:rsidR="0033485B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07C14AEF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23FC223" w14:textId="34AEAD27" w:rsidR="005A5962" w:rsidRPr="004B7BE8" w:rsidRDefault="005A5962" w:rsidP="004B7BE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62C804FC" w14:textId="783ADAC5" w:rsidR="00FE7C33" w:rsidRPr="006D1582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6D1582">
        <w:rPr>
          <w:rFonts w:ascii="Arial" w:eastAsia="Times New Roman" w:hAnsi="Arial" w:cs="Arial"/>
          <w:b/>
          <w:bCs/>
          <w:color w:val="0070C0"/>
          <w:sz w:val="24"/>
          <w:szCs w:val="24"/>
        </w:rPr>
        <w:t>961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31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6D1582">
        <w:rPr>
          <w:rFonts w:ascii="Arial" w:eastAsia="Times New Roman" w:hAnsi="Arial" w:cs="Arial"/>
          <w:b/>
          <w:bCs/>
          <w:color w:val="0070C0"/>
          <w:sz w:val="24"/>
          <w:szCs w:val="24"/>
        </w:rPr>
        <w:t>223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r w:rsidR="005A72F2" w:rsidRPr="00725E69">
        <w:rPr>
          <w:rFonts w:ascii="Arial" w:eastAsia="Times New Roman" w:hAnsi="Arial" w:cs="Arial"/>
          <w:b/>
          <w:bCs/>
          <w:sz w:val="24"/>
          <w:szCs w:val="24"/>
        </w:rPr>
        <w:t>Kiko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25E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3A2F" w:rsidRPr="006D158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4122E" w:rsidRPr="006D1582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937B01" w:rsidRPr="006D1582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725E69" w:rsidRPr="006D15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6D1582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6D1582">
        <w:rPr>
          <w:rFonts w:ascii="Arial" w:eastAsia="Times New Roman" w:hAnsi="Arial" w:cs="Arial"/>
          <w:sz w:val="24"/>
          <w:szCs w:val="24"/>
        </w:rPr>
        <w:t xml:space="preserve"> </w:t>
      </w:r>
      <w:r w:rsidRPr="006D1582">
        <w:rPr>
          <w:rFonts w:ascii="Arial" w:eastAsia="Times New Roman" w:hAnsi="Arial" w:cs="Arial"/>
          <w:sz w:val="24"/>
          <w:szCs w:val="24"/>
        </w:rPr>
        <w:t>in</w:t>
      </w:r>
      <w:r w:rsidR="00E0525B" w:rsidRPr="006D1582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6D1582">
        <w:rPr>
          <w:rFonts w:ascii="Arial" w:eastAsia="Times New Roman" w:hAnsi="Arial" w:cs="Arial"/>
          <w:b/>
          <w:sz w:val="24"/>
          <w:szCs w:val="24"/>
        </w:rPr>
        <w:t>Region</w:t>
      </w:r>
      <w:r w:rsidR="005A5962" w:rsidRPr="006D1582">
        <w:rPr>
          <w:rFonts w:ascii="Arial" w:eastAsia="Times New Roman" w:hAnsi="Arial" w:cs="Arial"/>
          <w:b/>
          <w:sz w:val="24"/>
          <w:szCs w:val="24"/>
        </w:rPr>
        <w:t>s</w:t>
      </w:r>
      <w:r w:rsidR="005A72F2" w:rsidRPr="006D15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6D1582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="00E01C04" w:rsidRPr="006D1582">
        <w:rPr>
          <w:rFonts w:ascii="Arial" w:eastAsia="Times New Roman" w:hAnsi="Arial" w:cs="Arial"/>
          <w:b/>
          <w:sz w:val="24"/>
          <w:szCs w:val="24"/>
        </w:rPr>
        <w:t>II</w:t>
      </w:r>
      <w:r w:rsidR="00E01C04" w:rsidRPr="006D1582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6D1582">
        <w:rPr>
          <w:rFonts w:ascii="Arial" w:eastAsia="Times New Roman" w:hAnsi="Arial" w:cs="Arial"/>
          <w:sz w:val="24"/>
          <w:szCs w:val="24"/>
        </w:rPr>
        <w:t>and</w:t>
      </w:r>
      <w:r w:rsidR="005A5962" w:rsidRPr="006D1582">
        <w:rPr>
          <w:rFonts w:ascii="Arial" w:eastAsia="Times New Roman" w:hAnsi="Arial" w:cs="Arial"/>
          <w:b/>
          <w:sz w:val="24"/>
          <w:szCs w:val="24"/>
        </w:rPr>
        <w:t xml:space="preserve"> CAR </w:t>
      </w:r>
      <w:r w:rsidRPr="006D1582">
        <w:rPr>
          <w:rFonts w:ascii="Arial" w:eastAsia="Times New Roman" w:hAnsi="Arial" w:cs="Arial"/>
          <w:sz w:val="24"/>
          <w:szCs w:val="24"/>
        </w:rPr>
        <w:t>(see</w:t>
      </w:r>
      <w:r w:rsidR="00E0525B" w:rsidRPr="006D1582">
        <w:rPr>
          <w:rFonts w:ascii="Arial" w:eastAsia="Times New Roman" w:hAnsi="Arial" w:cs="Arial"/>
          <w:sz w:val="24"/>
          <w:szCs w:val="24"/>
        </w:rPr>
        <w:t xml:space="preserve"> </w:t>
      </w:r>
      <w:r w:rsidRPr="006D1582">
        <w:rPr>
          <w:rFonts w:ascii="Arial" w:eastAsia="Times New Roman" w:hAnsi="Arial" w:cs="Arial"/>
          <w:sz w:val="24"/>
          <w:szCs w:val="24"/>
        </w:rPr>
        <w:t>Table</w:t>
      </w:r>
      <w:r w:rsidR="00E0525B" w:rsidRPr="006D1582">
        <w:rPr>
          <w:rFonts w:ascii="Arial" w:eastAsia="Times New Roman" w:hAnsi="Arial" w:cs="Arial"/>
          <w:sz w:val="24"/>
          <w:szCs w:val="24"/>
        </w:rPr>
        <w:t xml:space="preserve"> </w:t>
      </w:r>
      <w:r w:rsidRPr="006D1582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45"/>
        <w:gridCol w:w="1914"/>
        <w:gridCol w:w="1258"/>
        <w:gridCol w:w="1258"/>
      </w:tblGrid>
      <w:tr w:rsidR="006D1582" w:rsidRPr="006D1582" w14:paraId="16B262AB" w14:textId="77777777" w:rsidTr="006D1582">
        <w:trPr>
          <w:trHeight w:val="20"/>
          <w:tblHeader/>
        </w:trPr>
        <w:tc>
          <w:tcPr>
            <w:tcW w:w="2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3A4DA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27FE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D1582" w:rsidRPr="006D1582" w14:paraId="41EDB50A" w14:textId="77777777" w:rsidTr="006D1582">
        <w:trPr>
          <w:trHeight w:val="20"/>
          <w:tblHeader/>
        </w:trPr>
        <w:tc>
          <w:tcPr>
            <w:tcW w:w="2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419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BFCF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F5614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A1EC2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1582" w:rsidRPr="006D1582" w14:paraId="68E43798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2764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D0F01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167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96875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8,961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D2827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31,223 </w:t>
            </w:r>
          </w:p>
        </w:tc>
      </w:tr>
      <w:tr w:rsidR="006D1582" w:rsidRPr="006D1582" w14:paraId="3661D89F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5A1A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8536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F52D7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D7F1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4,581 </w:t>
            </w:r>
          </w:p>
        </w:tc>
      </w:tr>
      <w:tr w:rsidR="006D1582" w:rsidRPr="006D1582" w14:paraId="0082E645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00D0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0810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318A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5852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1,813 </w:t>
            </w:r>
          </w:p>
        </w:tc>
      </w:tr>
      <w:tr w:rsidR="006D1582" w:rsidRPr="006D1582" w14:paraId="049A1D58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9B8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90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881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22A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408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CC3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1731</w:t>
            </w:r>
          </w:p>
        </w:tc>
      </w:tr>
      <w:tr w:rsidR="006D1582" w:rsidRPr="006D1582" w14:paraId="4A0B1B1D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477C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3B0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600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460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6CC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19</w:t>
            </w:r>
          </w:p>
        </w:tc>
      </w:tr>
      <w:tr w:rsidR="006D1582" w:rsidRPr="006D1582" w14:paraId="5A6DF644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C002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939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E30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3F4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780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</w:tr>
      <w:tr w:rsidR="006D1582" w:rsidRPr="006D1582" w14:paraId="45481809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D785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EF2E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887F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3F91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2,768 </w:t>
            </w:r>
          </w:p>
        </w:tc>
      </w:tr>
      <w:tr w:rsidR="006D1582" w:rsidRPr="006D1582" w14:paraId="2EB97926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F6F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8E6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2C9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333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765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70D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2,752 </w:t>
            </w:r>
          </w:p>
        </w:tc>
      </w:tr>
      <w:tr w:rsidR="006D1582" w:rsidRPr="006D1582" w14:paraId="02DBE951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9642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BCC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30F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99C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083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16 </w:t>
            </w:r>
          </w:p>
        </w:tc>
      </w:tr>
      <w:tr w:rsidR="006D1582" w:rsidRPr="006D1582" w14:paraId="0C368B9E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926DA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85F72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7E00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7,660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A10E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26,244 </w:t>
            </w:r>
          </w:p>
        </w:tc>
      </w:tr>
      <w:tr w:rsidR="006D1582" w:rsidRPr="006D1582" w14:paraId="2A107968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6D3E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B7AB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0853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5,579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47A9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19,404 </w:t>
            </w:r>
          </w:p>
        </w:tc>
      </w:tr>
      <w:tr w:rsidR="006D1582" w:rsidRPr="006D1582" w14:paraId="03FEC9A8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E503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1C9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6E7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338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3,099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992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10,667 </w:t>
            </w:r>
          </w:p>
        </w:tc>
      </w:tr>
      <w:tr w:rsidR="006D1582" w:rsidRPr="006D1582" w14:paraId="1AE0D509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AE1C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C45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0B6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9D0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977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EB6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3,968 </w:t>
            </w:r>
          </w:p>
        </w:tc>
      </w:tr>
      <w:tr w:rsidR="006D1582" w:rsidRPr="006D1582" w14:paraId="515C2347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98A3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58E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E94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A56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70D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1,526 </w:t>
            </w:r>
          </w:p>
        </w:tc>
      </w:tr>
      <w:tr w:rsidR="006D1582" w:rsidRPr="006D1582" w14:paraId="3EA90B69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22A9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CDD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0CB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D7A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996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330 </w:t>
            </w:r>
          </w:p>
        </w:tc>
      </w:tr>
      <w:tr w:rsidR="006D1582" w:rsidRPr="006D1582" w14:paraId="5DD03CA6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7931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0C7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96B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922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547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8C5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1,641 </w:t>
            </w:r>
          </w:p>
        </w:tc>
      </w:tr>
      <w:tr w:rsidR="006D1582" w:rsidRPr="006D1582" w14:paraId="53559C7A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391F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36A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8BA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425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A23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1,272 </w:t>
            </w:r>
          </w:p>
        </w:tc>
      </w:tr>
      <w:tr w:rsidR="006D1582" w:rsidRPr="006D1582" w14:paraId="31435DFC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0CA4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C534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42DC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1,859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BFFD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6,038 </w:t>
            </w:r>
          </w:p>
        </w:tc>
      </w:tr>
      <w:tr w:rsidR="006D1582" w:rsidRPr="006D1582" w14:paraId="1707F99C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955D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723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9DC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622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9A2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6D1582" w:rsidRPr="006D1582" w14:paraId="04546C5B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F84C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8FF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4C0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6D9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C57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36 </w:t>
            </w:r>
          </w:p>
        </w:tc>
      </w:tr>
      <w:tr w:rsidR="006D1582" w:rsidRPr="006D1582" w14:paraId="525D9C4A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D97C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9A6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B3C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0E7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F36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346 </w:t>
            </w:r>
          </w:p>
        </w:tc>
      </w:tr>
      <w:tr w:rsidR="006D1582" w:rsidRPr="006D1582" w14:paraId="235C1FA4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1AAB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CA2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550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722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C58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248 </w:t>
            </w:r>
          </w:p>
        </w:tc>
      </w:tr>
      <w:tr w:rsidR="006D1582" w:rsidRPr="006D1582" w14:paraId="11F60034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AE9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CDA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228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C0E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121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2,363 </w:t>
            </w:r>
          </w:p>
        </w:tc>
      </w:tr>
      <w:tr w:rsidR="006D1582" w:rsidRPr="006D1582" w14:paraId="7B70D9FF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27F3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4C6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B77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95A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8C7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19 </w:t>
            </w:r>
          </w:p>
        </w:tc>
      </w:tr>
      <w:tr w:rsidR="006D1582" w:rsidRPr="006D1582" w14:paraId="0F664F4D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8012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FB4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6D5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A1C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2C8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696 </w:t>
            </w:r>
          </w:p>
        </w:tc>
      </w:tr>
      <w:tr w:rsidR="006D1582" w:rsidRPr="006D1582" w14:paraId="76718EFA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CF40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373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18E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CF9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434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825 </w:t>
            </w:r>
          </w:p>
        </w:tc>
      </w:tr>
      <w:tr w:rsidR="006D1582" w:rsidRPr="006D1582" w14:paraId="3A4953C6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6FAE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D03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FAF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A56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7D6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46 </w:t>
            </w:r>
          </w:p>
        </w:tc>
      </w:tr>
      <w:tr w:rsidR="006D1582" w:rsidRPr="006D1582" w14:paraId="2CEE8DEC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FA2B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A49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0373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884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E31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323 </w:t>
            </w:r>
          </w:p>
        </w:tc>
      </w:tr>
      <w:tr w:rsidR="006D1582" w:rsidRPr="006D1582" w14:paraId="78150A4E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762C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A0D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5B6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A12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8FD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197 </w:t>
            </w:r>
          </w:p>
        </w:tc>
      </w:tr>
      <w:tr w:rsidR="006D1582" w:rsidRPr="006D1582" w14:paraId="00363698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95A2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7CB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4DF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06D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573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264 </w:t>
            </w:r>
          </w:p>
        </w:tc>
      </w:tr>
      <w:tr w:rsidR="006D1582" w:rsidRPr="006D1582" w14:paraId="3669A577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90A6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2F0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67E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D78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D19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420 </w:t>
            </w:r>
          </w:p>
        </w:tc>
      </w:tr>
      <w:tr w:rsidR="006D1582" w:rsidRPr="006D1582" w14:paraId="0A8317AF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DA4D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9BE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FE0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78E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130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30 </w:t>
            </w:r>
          </w:p>
        </w:tc>
      </w:tr>
      <w:tr w:rsidR="006D1582" w:rsidRPr="006D1582" w14:paraId="2CFE7B77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0540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D7B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E69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EC6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D73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211 </w:t>
            </w:r>
          </w:p>
        </w:tc>
      </w:tr>
      <w:tr w:rsidR="006D1582" w:rsidRPr="006D1582" w14:paraId="39C67C9A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3469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82C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065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5A5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D02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</w:tr>
      <w:tr w:rsidR="006D1582" w:rsidRPr="006D1582" w14:paraId="00BDC111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6F35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230D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77E1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D331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802 </w:t>
            </w:r>
          </w:p>
        </w:tc>
      </w:tr>
      <w:tr w:rsidR="006D1582" w:rsidRPr="006D1582" w14:paraId="347084EE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4562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2F9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A60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7D5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013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537 </w:t>
            </w:r>
          </w:p>
        </w:tc>
      </w:tr>
      <w:tr w:rsidR="006D1582" w:rsidRPr="006D1582" w14:paraId="1140720A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8722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3E3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EF4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0C7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844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265 </w:t>
            </w:r>
          </w:p>
        </w:tc>
      </w:tr>
      <w:tr w:rsidR="006D1582" w:rsidRPr="006D1582" w14:paraId="7FDFE3B5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63AAF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2D4E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CF19B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A028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398 </w:t>
            </w:r>
          </w:p>
        </w:tc>
      </w:tr>
      <w:tr w:rsidR="006D1582" w:rsidRPr="006D1582" w14:paraId="3A2ADBF7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FA1D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FD3E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1EE6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303F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220 </w:t>
            </w:r>
          </w:p>
        </w:tc>
      </w:tr>
      <w:tr w:rsidR="006D1582" w:rsidRPr="006D1582" w14:paraId="6E2547CD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55B0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4CF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CB1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1B0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D3B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212 </w:t>
            </w:r>
          </w:p>
        </w:tc>
      </w:tr>
      <w:tr w:rsidR="006D1582" w:rsidRPr="006D1582" w14:paraId="5A86976D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0722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B3D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BE2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106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DDC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</w:tr>
      <w:tr w:rsidR="006D1582" w:rsidRPr="006D1582" w14:paraId="4A015EB9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C12E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E0DB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22C8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3369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168 </w:t>
            </w:r>
          </w:p>
        </w:tc>
      </w:tr>
      <w:tr w:rsidR="006D1582" w:rsidRPr="006D1582" w14:paraId="77631243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BB75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B60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2FD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042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DC0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70 </w:t>
            </w:r>
          </w:p>
        </w:tc>
      </w:tr>
      <w:tr w:rsidR="006D1582" w:rsidRPr="006D1582" w14:paraId="679EC210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96F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661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E96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2AB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BD2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98 </w:t>
            </w:r>
          </w:p>
        </w:tc>
      </w:tr>
      <w:tr w:rsidR="006D1582" w:rsidRPr="006D1582" w14:paraId="771003E4" w14:textId="77777777" w:rsidTr="006D1582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7C1B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07F6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3483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529C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D1582" w:rsidRPr="006D1582" w14:paraId="034EE51A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22ACE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E6C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F2E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10C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0A0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6D1582" w:rsidRPr="006D1582" w14:paraId="0CFABDB5" w14:textId="77777777" w:rsidTr="006D158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BD5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4A2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EC8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077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519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</w:tr>
    </w:tbl>
    <w:p w14:paraId="2A6F6194" w14:textId="0B7E6E06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C5601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are continuously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06785CCB" w14:textId="07FAF68C" w:rsidR="009E6944" w:rsidRPr="00EB0BD2" w:rsidRDefault="00E0525B" w:rsidP="00EB0BD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347418D4" w14:textId="5B950F2B" w:rsidR="009E6944" w:rsidRPr="00FE7C33" w:rsidRDefault="00ED3A2F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4DF5561" wp14:editId="70AB3F9E">
            <wp:simplePos x="0" y="0"/>
            <wp:positionH relativeFrom="column">
              <wp:posOffset>224155</wp:posOffset>
            </wp:positionH>
            <wp:positionV relativeFrom="paragraph">
              <wp:posOffset>340360</wp:posOffset>
            </wp:positionV>
            <wp:extent cx="6047105" cy="4159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047105" cy="415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5A9" w14:textId="7B5A8B0B" w:rsidR="00725E69" w:rsidRDefault="00725E69" w:rsidP="00055DE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CBF805" w14:textId="33A7A6B5" w:rsidR="00055DE8" w:rsidRDefault="00055DE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3C2F8273" w14:textId="77830ED1" w:rsidR="005A5962" w:rsidRPr="004B7BE8" w:rsidRDefault="005A5962" w:rsidP="004B7BE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lastRenderedPageBreak/>
        <w:t>Status of Displaced Population</w:t>
      </w:r>
    </w:p>
    <w:p w14:paraId="6AF75B25" w14:textId="0E8E7D54" w:rsidR="00752422" w:rsidRDefault="00ED3A2F" w:rsidP="0075242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B1D8F7B" w14:textId="558E3425" w:rsidR="00752422" w:rsidRPr="00851385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385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1,083</w:t>
      </w:r>
      <w:r w:rsidR="00E50061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64D39" w:rsidRPr="00851385">
        <w:rPr>
          <w:rFonts w:ascii="Arial" w:eastAsia="Times New Roman" w:hAnsi="Arial" w:cs="Arial"/>
          <w:sz w:val="24"/>
          <w:szCs w:val="24"/>
        </w:rPr>
        <w:t xml:space="preserve"> or</w:t>
      </w:r>
      <w:r w:rsidR="00C428D1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3,840</w:t>
      </w:r>
      <w:r w:rsidR="00C428D1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4B7BE8" w:rsidRPr="00851385">
        <w:rPr>
          <w:rFonts w:ascii="Arial" w:eastAsia="Times New Roman" w:hAnsi="Arial" w:cs="Arial"/>
          <w:bCs/>
          <w:sz w:val="24"/>
          <w:szCs w:val="24"/>
        </w:rPr>
        <w:t>sought</w:t>
      </w:r>
      <w:r w:rsidRPr="00851385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106</w:t>
      </w:r>
      <w:r w:rsidR="002509B8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evacuation </w:t>
      </w:r>
      <w:r w:rsidR="00005ED9" w:rsidRPr="00851385">
        <w:rPr>
          <w:rFonts w:ascii="Arial" w:eastAsia="Times New Roman" w:hAnsi="Arial" w:cs="Arial"/>
          <w:b/>
          <w:bCs/>
          <w:sz w:val="24"/>
          <w:szCs w:val="24"/>
        </w:rPr>
        <w:t>centers</w:t>
      </w:r>
      <w:r w:rsidRPr="00851385">
        <w:rPr>
          <w:rFonts w:ascii="Arial" w:eastAsia="Times New Roman" w:hAnsi="Arial" w:cs="Arial"/>
          <w:sz w:val="24"/>
          <w:szCs w:val="24"/>
        </w:rPr>
        <w:t xml:space="preserve"> in </w:t>
      </w:r>
      <w:r w:rsidRPr="00851385">
        <w:rPr>
          <w:rFonts w:ascii="Arial" w:eastAsia="Times New Roman" w:hAnsi="Arial" w:cs="Arial"/>
          <w:b/>
          <w:sz w:val="24"/>
          <w:szCs w:val="24"/>
        </w:rPr>
        <w:t>Region</w:t>
      </w:r>
      <w:r w:rsidR="004B7BE8" w:rsidRPr="00851385">
        <w:rPr>
          <w:rFonts w:ascii="Arial" w:eastAsia="Times New Roman" w:hAnsi="Arial" w:cs="Arial"/>
          <w:b/>
          <w:sz w:val="24"/>
          <w:szCs w:val="24"/>
        </w:rPr>
        <w:t>s I,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09B8" w:rsidRPr="00851385">
        <w:rPr>
          <w:rFonts w:ascii="Arial" w:eastAsia="Times New Roman" w:hAnsi="Arial" w:cs="Arial"/>
          <w:b/>
          <w:sz w:val="24"/>
          <w:szCs w:val="24"/>
        </w:rPr>
        <w:t>II</w:t>
      </w:r>
      <w:r w:rsidR="004B7BE8" w:rsidRPr="008513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7BE8" w:rsidRPr="00851385">
        <w:rPr>
          <w:rFonts w:ascii="Arial" w:eastAsia="Times New Roman" w:hAnsi="Arial" w:cs="Arial"/>
          <w:sz w:val="24"/>
          <w:szCs w:val="24"/>
        </w:rPr>
        <w:t xml:space="preserve">and </w:t>
      </w:r>
      <w:r w:rsidR="004B7BE8" w:rsidRPr="00851385">
        <w:rPr>
          <w:rFonts w:ascii="Arial" w:eastAsia="Times New Roman" w:hAnsi="Arial" w:cs="Arial"/>
          <w:b/>
          <w:sz w:val="24"/>
          <w:szCs w:val="24"/>
        </w:rPr>
        <w:t>CAR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sz w:val="24"/>
          <w:szCs w:val="24"/>
        </w:rPr>
        <w:t>(see Table 2).</w:t>
      </w:r>
    </w:p>
    <w:p w14:paraId="2ED64E89" w14:textId="77777777" w:rsidR="00752422" w:rsidRPr="00752422" w:rsidRDefault="0075242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4D00B2C0" w:rsidR="005A5962" w:rsidRP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3"/>
        <w:gridCol w:w="953"/>
        <w:gridCol w:w="920"/>
        <w:gridCol w:w="953"/>
        <w:gridCol w:w="920"/>
        <w:gridCol w:w="953"/>
        <w:gridCol w:w="915"/>
      </w:tblGrid>
      <w:tr w:rsidR="004B7BE8" w:rsidRPr="004B7BE8" w14:paraId="20D324B8" w14:textId="77777777" w:rsidTr="004B7BE8">
        <w:trPr>
          <w:trHeight w:val="20"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DF5B6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C1AB8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DEF7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7BE8" w:rsidRPr="004B7BE8" w14:paraId="1EF722BF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618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C1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433B6C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B7BE8" w:rsidRPr="004B7BE8" w14:paraId="39EB3191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ACF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4BD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00D94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9C941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10BDDB16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6C6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1FA3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DE8BA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A0B09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303F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DC11A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9DA48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19B3F6BA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F07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E53496" w14:textId="5B0BCF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1F2AB1" w14:textId="32D77D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5BE16" w14:textId="4FDA05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A4083" w14:textId="7E5C26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9B85C" w14:textId="552D107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3,840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4261EF" w14:textId="28618D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12F7BD98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0CFC7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D1760" w14:textId="105FAB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B68AAD" w14:textId="15DFBC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2EFA7" w14:textId="6AABD30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0CD95" w14:textId="5681AE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3BA6F8" w14:textId="563DBDB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149C3" w14:textId="4A79F2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22E455E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13E8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8470A" w14:textId="5D81F2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A127D" w14:textId="5AB879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426AA" w14:textId="4C2EA3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C3F1F" w14:textId="07B0084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E4960" w14:textId="78F5F9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1BBCB" w14:textId="344F76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5A4A51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813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3C4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FC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BD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615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EC2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477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DD2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B7BE8" w:rsidRPr="004B7BE8" w14:paraId="40F7B3D9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5E67D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20F3F" w14:textId="620F13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FDEEA" w14:textId="13EA6FA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7C0F3" w14:textId="61A2A0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A2138D" w14:textId="0164F84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4EA01" w14:textId="6C04F16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3,713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203C6" w14:textId="5BD1D3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D2840C9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B5B7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15ABF" w14:textId="13EF6B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31BF0" w14:textId="1942608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3BC20" w14:textId="5554D1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4EDB7" w14:textId="7D8803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07A5F" w14:textId="35F6B1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34FC6" w14:textId="39B823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DD8CBF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A416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D2D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C524" w14:textId="3D3DE2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EF02" w14:textId="256A95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265F" w14:textId="18F6F9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F416" w14:textId="6A3C44A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C736" w14:textId="5C9A53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2695" w14:textId="6F77C7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03E2EA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9DA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56A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1578" w14:textId="0732EA4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88A5" w14:textId="444046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D2B8" w14:textId="151AA22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C032" w14:textId="5CFF47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38D2" w14:textId="1442623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B778" w14:textId="1D34E4B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542C8E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1E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1A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3A78" w14:textId="3754A5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F6A5" w14:textId="57FC819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E4BF" w14:textId="64E578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2DD5" w14:textId="1AA1146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11ED" w14:textId="09345D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B13B" w14:textId="0D4E30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1AE9E66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2F12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B5DAE" w14:textId="689368D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D29A" w14:textId="1229C21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D1120" w14:textId="21DA38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6AE6C" w14:textId="3243150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E4F1C" w14:textId="6E8018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DB1E6" w14:textId="4DFD54E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F69F34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F5A5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7B2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5294" w14:textId="72DAEB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BA74" w14:textId="0FE7676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C0F1" w14:textId="6117125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BE5B" w14:textId="13AB91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9CF9" w14:textId="6096C62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D64B" w14:textId="241F1B5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3A89FE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6EAB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8AD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AAAE" w14:textId="7CC136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983" w14:textId="251B89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3830" w14:textId="25F33E7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BDD" w14:textId="40C04D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D945" w14:textId="5A1AF9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F771" w14:textId="1C2863B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E480AC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BA33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01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84C8" w14:textId="4D3DD22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AC0B" w14:textId="1E3E718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1576" w14:textId="5B0CCC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2642" w14:textId="0F660F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9C61" w14:textId="2E1A460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E604" w14:textId="7A32086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2662E0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37B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77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A3D1" w14:textId="4FB0B3D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61DF" w14:textId="7AFCF6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4C6D" w14:textId="5B86563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D615" w14:textId="1CF633F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9DFF" w14:textId="160B09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2C94" w14:textId="038044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B4E1A3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019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CE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2248" w14:textId="32B20CA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184C" w14:textId="78EEF3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E3EB" w14:textId="1CAB6EA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6CB7" w14:textId="7B71DD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60C0" w14:textId="36FDEEB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8F66" w14:textId="0C1D411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4B7113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7C5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CC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BCE8" w14:textId="4EA916E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FCED" w14:textId="687BD2E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F879" w14:textId="0BE14A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14C5" w14:textId="145385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A91A" w14:textId="50F240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14A1" w14:textId="1C6CE01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04CAD33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7C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95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F1A0" w14:textId="121D0F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4550" w14:textId="2E81676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051F" w14:textId="180CF65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6828" w14:textId="536C4C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7D9B" w14:textId="571DFC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6A30" w14:textId="3D35C51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C55393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37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1A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FABB" w14:textId="207E73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C914" w14:textId="416308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C261" w14:textId="6296DB2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F355" w14:textId="63314A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D387" w14:textId="1ED4E3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BF1B" w14:textId="37213D2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7C4AE3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0B49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EFB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CD25" w14:textId="582ED69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FA27" w14:textId="46A5E0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91CB" w14:textId="49391B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FA9A" w14:textId="2F3C31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C853" w14:textId="12DD5F3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04F2" w14:textId="296BC1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57902A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CB9B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88B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5376" w14:textId="2486A0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B46E" w14:textId="4AAA3B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9C48" w14:textId="26B33DB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3219" w14:textId="24B816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CEE9" w14:textId="067E1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94B7" w14:textId="46CA06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FCB963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88AA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006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8A86" w14:textId="0088592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EA02" w14:textId="79F5CDA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1276" w14:textId="68F4A7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1A81" w14:textId="756C1B7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6DFA" w14:textId="71847B7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E29E" w14:textId="239767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C23499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E5D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60E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DBED" w14:textId="63A47FB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1B04" w14:textId="6ED65A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5579" w14:textId="1BE63C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7E3" w14:textId="27F4CE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BCA4" w14:textId="717239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BCDD" w14:textId="11BF83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A10D52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B27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DC0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6F07" w14:textId="474A18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36C3" w14:textId="2748FEA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9ACD" w14:textId="606E5C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7AA5" w14:textId="7001B96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FEEB" w14:textId="1F3148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FFB" w14:textId="0C10E4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B30FFC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497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C76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A9F5" w14:textId="052D69F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EE0D" w14:textId="5CBDD63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3E97" w14:textId="6E100C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06D7" w14:textId="230721F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33BA" w14:textId="1C1D82E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DAA" w14:textId="46319F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745631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5A3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09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0063" w14:textId="20FA610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B545" w14:textId="49533E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1A11" w14:textId="67BB42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DDB5" w14:textId="700ABB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594C" w14:textId="602923B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8BB5" w14:textId="58CE8DC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AD1E76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7360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BDA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C4C3F" w14:textId="5C68231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E1C9" w14:textId="6A5DB52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87C7" w14:textId="66ACB3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BA22" w14:textId="12B5774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5FD9" w14:textId="714BAC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FC33" w14:textId="71CF10F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6BA3D53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6263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4EBBC" w14:textId="0B34988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490C0" w14:textId="2BBE627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1B631" w14:textId="52FD8D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76897" w14:textId="666033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44D2F" w14:textId="2FADB09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1E63B" w14:textId="765BE8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F57139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757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27A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02B3" w14:textId="775BBC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4141" w14:textId="78098B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253F" w14:textId="056BDC4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A911" w14:textId="65A266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E073" w14:textId="3FE49B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4537" w14:textId="0D5A7D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877C88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856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94B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6E52" w14:textId="376E64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0AB8" w14:textId="3C0A59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00E6" w14:textId="405E376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390A" w14:textId="7934B8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2B66" w14:textId="789411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97C9" w14:textId="75B40F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8D91650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55641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EDB1F" w14:textId="4AB316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8F047" w14:textId="3BF7F6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6C097" w14:textId="07AF240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730CE" w14:textId="3AF49A6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82169" w14:textId="7DC64E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67310" w14:textId="02698C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90B7734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9CB5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98424" w14:textId="49B350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F4F3E" w14:textId="0D0ADE6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FC229" w14:textId="2AF97D9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8610F" w14:textId="0B26B75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03ED7" w14:textId="0DC6B42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76F0A" w14:textId="48588E5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1400DA2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C2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50F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ECF1" w14:textId="200EC1B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A6CD" w14:textId="729680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EAB9" w14:textId="05D1B8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BCC1" w14:textId="0A2FDF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3A90" w14:textId="32BAAE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894B" w14:textId="0D6A11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55180F70" w:rsidR="00E8375D" w:rsidRPr="00FE7C33" w:rsidRDefault="00E8375D" w:rsidP="00752422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Figures in Buguey, Cagayan are 19 individuals with no affected families. Hence, o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</w:p>
    <w:p w14:paraId="7F8891A3" w14:textId="03D55330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BD6B3B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AD866E5" w14:textId="5F0AE5A8" w:rsidR="00333AB0" w:rsidRDefault="00333AB0" w:rsidP="0075242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429CEFC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5E0EBFF6" w14:textId="31787842" w:rsidR="00015B17" w:rsidRPr="00AB302C" w:rsidRDefault="00AF59D9" w:rsidP="00777D8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302C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3E4DFD" w:rsidRPr="00AB302C">
        <w:rPr>
          <w:rFonts w:ascii="Arial" w:eastAsia="Times New Roman" w:hAnsi="Arial" w:cs="Arial"/>
          <w:sz w:val="24"/>
          <w:szCs w:val="24"/>
        </w:rPr>
        <w:t xml:space="preserve"> or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sz w:val="24"/>
          <w:szCs w:val="24"/>
        </w:rPr>
        <w:t>47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AB302C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Region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II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sz w:val="24"/>
          <w:szCs w:val="24"/>
        </w:rPr>
        <w:t>(see Table 3).</w:t>
      </w:r>
    </w:p>
    <w:p w14:paraId="03943119" w14:textId="7158CD2D" w:rsidR="00333AB0" w:rsidRDefault="00333AB0" w:rsidP="004B7BE8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6"/>
        <w:gridCol w:w="1174"/>
        <w:gridCol w:w="1174"/>
        <w:gridCol w:w="1176"/>
        <w:gridCol w:w="1169"/>
      </w:tblGrid>
      <w:tr w:rsidR="004B7BE8" w:rsidRPr="004B7BE8" w14:paraId="2D00176D" w14:textId="77777777" w:rsidTr="004B7BE8">
        <w:trPr>
          <w:trHeight w:val="20"/>
          <w:tblHeader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764B7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8D99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7BE8" w:rsidRPr="004B7BE8" w14:paraId="504891F3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727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26E5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B7BE8" w:rsidRPr="004B7BE8" w14:paraId="58D40A7E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EE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701D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CE5D0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2F7984A3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770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1995D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972F1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F5EC6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B18F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66048091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7E59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00BA7B" w14:textId="483103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F09F5" w14:textId="6BD872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DA67E" w14:textId="0EA5D3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8E2E0" w14:textId="6E2673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091010EA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C528A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61AD7" w14:textId="396659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0611A" w14:textId="5602CB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A08BA" w14:textId="093AD5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D78CD" w14:textId="7415ED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E241F96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59C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49CC0" w14:textId="79FB7B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E5A6C" w14:textId="4464F73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FD7FF" w14:textId="69F82DD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E27A7" w14:textId="4B4CB1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9DB447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CA9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6A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FB7B" w14:textId="73E762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78B9" w14:textId="57A6E4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1F49" w14:textId="17008F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F157" w14:textId="624804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EB212E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E430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32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96CD" w14:textId="3096B6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242C" w14:textId="3A4D4C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5C77" w14:textId="5BA9A7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08B6" w14:textId="3C15DC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45700E4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BC0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114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88FD" w14:textId="14D2EE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3497" w14:textId="794D09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6729" w14:textId="6624C53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75BA" w14:textId="27AC4E3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09A835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08BF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4CB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E038" w14:textId="25285D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B916" w14:textId="00E1CD7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3451" w14:textId="672458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F185" w14:textId="7D4364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11CE120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C619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9D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97A4" w14:textId="1BF513D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4413" w14:textId="38224C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4A0B" w14:textId="179C608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6A3B" w14:textId="7A2E0CD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B7BE8" w:rsidRPr="004B7BE8" w14:paraId="65FFA580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58F8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FD561" w14:textId="537DFF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D1F1" w14:textId="3EA6DF3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7CD03" w14:textId="5331BC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0CA59" w14:textId="2300B42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DCF054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124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853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4AC6" w14:textId="6767070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65D2" w14:textId="3577C4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0599" w14:textId="69333D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B664" w14:textId="24EED3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AF1FA9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49C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50B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06AD" w14:textId="1BA1199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C2F0" w14:textId="0DF5CC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36FD" w14:textId="749C75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2FCF" w14:textId="41BBF1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D7295D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85C7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E54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7012" w14:textId="5232F9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1A83" w14:textId="0D0DBF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E15E" w14:textId="7D00382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9B74" w14:textId="1657F2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19CDAB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B5E1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51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77E7" w14:textId="695FA6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BF1E" w14:textId="01F4F1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D8CF" w14:textId="24E9F8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613B" w14:textId="68C35F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B5EE61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86D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5A5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CE0B" w14:textId="4AF35F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6C89" w14:textId="6F34DA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BD3B" w14:textId="1410F9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44D9" w14:textId="61C1EC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C10E04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CF1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14F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9051" w14:textId="493558B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3091" w14:textId="1EEBBF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0CE8" w14:textId="1CA4C4B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FF25" w14:textId="7C04D57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DFBB41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888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53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58BC" w14:textId="698DD63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CA6F" w14:textId="0FE6C1E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FB1F" w14:textId="722DDCA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AA0E" w14:textId="6DB5133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E3EB9B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1B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072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7A00" w14:textId="053FFB0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1E20" w14:textId="7F95EF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A073" w14:textId="60F359C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01B1" w14:textId="735961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61AC44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BCB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137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A068" w14:textId="18CB7BE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B070" w14:textId="3C145C0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9FDD" w14:textId="622D98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BFC5" w14:textId="1A0665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773484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8BE3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64FCD" w14:textId="48CBB78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01CB4" w14:textId="37F92C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9E5D5" w14:textId="67EAF2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D7F3" w14:textId="12771F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014375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81B0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38C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F958" w14:textId="5E0708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70A6" w14:textId="1F33F5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5550" w14:textId="30B212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C312" w14:textId="40E63F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7C6149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1DF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F9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BD44" w14:textId="19EF50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CAEC" w14:textId="036B0B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84D2" w14:textId="1DD6E3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31E6" w14:textId="02A624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1B8BBF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104B4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5CB80" w14:textId="49135E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CB103" w14:textId="5F2E6A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F8CD0" w14:textId="462101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A07C4" w14:textId="10DF06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71D0CA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F39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2EC51" w14:textId="544C7E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0D1EA" w14:textId="3978CCF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1ECD5" w14:textId="4F8F3B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74D4C" w14:textId="305666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F91F61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CA9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817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81E7" w14:textId="371E033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4769" w14:textId="0988F48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4C30" w14:textId="38DB691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C91C" w14:textId="4C579C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DB2E02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80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A07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6FDF" w14:textId="1C5B79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61AD" w14:textId="2437EEF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155F" w14:textId="32D5015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AA2A" w14:textId="1522A3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388DB10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D27C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BFCAC" w14:textId="245B4B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9243A" w14:textId="3BBC51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FCBCB" w14:textId="6A0E65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9F500" w14:textId="2AE2D66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B6180C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8DB6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58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6A69" w14:textId="2EA93F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FF55" w14:textId="643AECA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3AC5" w14:textId="7CEF58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57B4" w14:textId="0EA9D2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CB6B25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77F1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1CF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96ED" w14:textId="1E18BFF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FD94" w14:textId="103EF71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FDCC" w14:textId="6D3DA86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2539" w14:textId="6EFCC1C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41F2A87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42A5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82B30" w14:textId="5B1142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D881D" w14:textId="7EE8A4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B7271" w14:textId="0F40B2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20B7A" w14:textId="2C8BB37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7E3DC1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436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8F6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12BF" w14:textId="7988B3F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094B" w14:textId="68216F0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6F44" w14:textId="3BA955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68A1" w14:textId="0A06101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56CD3051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1B10A0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42BA2CBF" w:rsidR="00E8375D" w:rsidRPr="00851385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51385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851385">
        <w:rPr>
          <w:rFonts w:ascii="Arial" w:eastAsia="Times New Roman" w:hAnsi="Arial" w:cs="Arial"/>
          <w:sz w:val="24"/>
          <w:szCs w:val="24"/>
        </w:rPr>
        <w:t xml:space="preserve"> or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47</w:t>
      </w:r>
      <w:r w:rsidR="00E25307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851385">
        <w:rPr>
          <w:rFonts w:ascii="Arial" w:eastAsia="Times New Roman" w:hAnsi="Arial" w:cs="Arial"/>
          <w:bCs/>
          <w:sz w:val="24"/>
          <w:szCs w:val="24"/>
        </w:rPr>
        <w:t>still displaced in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7881" w:rsidRPr="00851385">
        <w:rPr>
          <w:rFonts w:ascii="Arial" w:eastAsia="Times New Roman" w:hAnsi="Arial" w:cs="Arial"/>
          <w:b/>
          <w:sz w:val="24"/>
          <w:szCs w:val="24"/>
        </w:rPr>
        <w:t>Region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II </w:t>
      </w:r>
      <w:r w:rsidRPr="00851385">
        <w:rPr>
          <w:rFonts w:ascii="Arial" w:eastAsia="Times New Roman" w:hAnsi="Arial" w:cs="Arial"/>
          <w:sz w:val="24"/>
          <w:szCs w:val="24"/>
        </w:rPr>
        <w:t>due to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Typhoon “Kiko” </w:t>
      </w:r>
      <w:r w:rsidRPr="00851385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Default="00F94C1D" w:rsidP="00187F6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6"/>
        <w:gridCol w:w="1174"/>
        <w:gridCol w:w="1174"/>
        <w:gridCol w:w="1176"/>
        <w:gridCol w:w="1169"/>
      </w:tblGrid>
      <w:tr w:rsidR="004B7BE8" w:rsidRPr="004B7BE8" w14:paraId="09E6781B" w14:textId="77777777" w:rsidTr="004B7BE8">
        <w:trPr>
          <w:trHeight w:val="20"/>
          <w:tblHeader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9F32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187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B7BE8" w:rsidRPr="004B7BE8" w14:paraId="54156F29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65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3E243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00CF1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10DA3BB5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4E8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ED08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2BC3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B7BE8" w:rsidRPr="004B7BE8" w14:paraId="361E0557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400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7346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21D5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DD88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8B82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53B4AD17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12A6C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50813" w14:textId="15EF6F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363F9" w14:textId="29CC221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EFB3C" w14:textId="0DBAF3E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7,587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F3FA" w14:textId="6EA702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41116D4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611B2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B922B" w14:textId="796C4D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33DC9" w14:textId="6E3759C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60A68" w14:textId="35959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A0F12" w14:textId="29537C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6BEB911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5B56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E24D0" w14:textId="7BBEC28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70FF6" w14:textId="51E8408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2662" w14:textId="211C94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96B85" w14:textId="7A585CF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017FC8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E7C4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2F2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9FD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EF9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6B8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A9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B7BE8" w:rsidRPr="004B7BE8" w14:paraId="3FF92F7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3F05A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7DBD1" w14:textId="0A21DAD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88ABD" w14:textId="1F58065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F35C5" w14:textId="7C72C9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7,275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EC0D9" w14:textId="63D9EF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0599C984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E613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3456E" w14:textId="5607A9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B6260" w14:textId="3B624C4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9FFC7" w14:textId="02CF25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6355B" w14:textId="333836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7CA46E5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7E2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918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3085" w14:textId="605A530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47AA" w14:textId="4BE0D8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2D6F" w14:textId="05A0DE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CBA6" w14:textId="5D4C767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A92333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A64B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6BD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3DD" w14:textId="4EDDDC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C78D" w14:textId="3216DA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4637" w14:textId="34AB48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653A" w14:textId="5B3A497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4BECB0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3BA5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A0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17B4" w14:textId="5FAC95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400F" w14:textId="53EF09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8053" w14:textId="66B8B52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DA2E" w14:textId="4CBB97A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180E446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03B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496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00A4" w14:textId="5661EBB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5AD6" w14:textId="0D8BED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939E" w14:textId="19FEEC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E001" w14:textId="4C389C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2E7E59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30C8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044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8189" w14:textId="700A7E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66FE" w14:textId="3F6C9D9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12CA" w14:textId="33050C0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943E" w14:textId="05A27B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71E6F1E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AE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58F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D5EB" w14:textId="712E9C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4CF9" w14:textId="16710D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B391" w14:textId="5FCB6D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839D" w14:textId="07E95E1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B7BE8" w:rsidRPr="004B7BE8" w14:paraId="1EEE446A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A3F6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EECDF" w14:textId="09FA56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1DF10" w14:textId="316F5A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71731" w14:textId="4BF017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19D5A" w14:textId="3267A8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44EC47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34B4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F80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B7E0" w14:textId="0F64F3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E0F7" w14:textId="4DADAC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66B4" w14:textId="3C9C1F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F4B7" w14:textId="0178C1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7CF75D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7EC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2E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A8CF" w14:textId="2E75794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C04C" w14:textId="0DBD733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1F2B" w14:textId="14063A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7C53" w14:textId="000F1A9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2561A6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6BF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62D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7FE2" w14:textId="1ADFE2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00B4" w14:textId="065B08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E01F" w14:textId="5ECA425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B9DE" w14:textId="3F98D6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885086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F56A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325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E18A" w14:textId="4BFFBB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2BDE" w14:textId="2E05E1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E174" w14:textId="63497F4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F815" w14:textId="5ACD006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C309F9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624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6E2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5810" w14:textId="3F0987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1064" w14:textId="50B0738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971B" w14:textId="782DFC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CB4A" w14:textId="710706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37E741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819B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2B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D69F" w14:textId="1E1F9A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5366" w14:textId="00B0DD2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4E63" w14:textId="0875A4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201A" w14:textId="1CCA91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B3B4E1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9613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3FC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3865" w14:textId="7738CD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58E1" w14:textId="793E76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6F93" w14:textId="44CE670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5151" w14:textId="3AFBA2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294E5E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FB50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A9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A2B0" w14:textId="44AA23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1978" w14:textId="0A5043F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0122" w14:textId="46C45A0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6ED0" w14:textId="3B95B0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8F7093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4753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451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B26C" w14:textId="7A97D2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8BF6" w14:textId="511E08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3514" w14:textId="48E13D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42DE" w14:textId="3873DEF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80C603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DF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AE5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74AD" w14:textId="35D614C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F87A" w14:textId="67DDA1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1BE3" w14:textId="62D075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BCD1" w14:textId="0E258E2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74FC2C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D47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681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52C3" w14:textId="3D4261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C7FF" w14:textId="2B1BF5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7494" w14:textId="42E4E5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1DD2" w14:textId="199EEF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6B5CE1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01CB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88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958" w14:textId="413A6A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10B7" w14:textId="4D2101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1DF7" w14:textId="5A800D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4C46" w14:textId="226090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E10633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AF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554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7F61" w14:textId="1037B7D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6603" w14:textId="2F9CEB2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3649" w14:textId="1439306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8D60" w14:textId="4482CA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C63B96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BF1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E9A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FDF6" w14:textId="103347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A7D9" w14:textId="41270AB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15BB" w14:textId="1ABD944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A857" w14:textId="57B7C3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2AFF90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1C7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449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5D1F" w14:textId="2816254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3E0F" w14:textId="53B9EC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B072" w14:textId="6D379B1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DF1" w14:textId="6FCBC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09C0B7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0C6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318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EE4A" w14:textId="5B228BE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7136" w14:textId="048F62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06D9" w14:textId="469F9F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1B1" w14:textId="05F731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235E12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1B29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D588B" w14:textId="562B92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8D7" w14:textId="234E68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2031F" w14:textId="78B4546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E8F22" w14:textId="5ADA017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48E097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B217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574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129B" w14:textId="6D540F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B4C7" w14:textId="496A0A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027E" w14:textId="44E9ABE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9191" w14:textId="3C52C5A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AA6DE1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E175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0B4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4B96" w14:textId="3B7DCE6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7F54" w14:textId="2200DB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7815" w14:textId="3D0829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ACD" w14:textId="16DD94C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5CCBD26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A42AA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4DE8D" w14:textId="6599FE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A7C32" w14:textId="17F493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B741C" w14:textId="1F2EB4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2503A" w14:textId="57338B6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06736D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1533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23AEC" w14:textId="749198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B56AF" w14:textId="3222A0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96772" w14:textId="709661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23B3B" w14:textId="5DA3F0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FC9BF0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282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12E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DA00" w14:textId="284160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0BEA" w14:textId="2AF225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E8A5" w14:textId="11FBB22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FD93" w14:textId="3CA41B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D5EAF4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1519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11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A066" w14:textId="672CE8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2BF8" w14:textId="1C95F0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9B6F" w14:textId="5C28B20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AD6A" w14:textId="0E43F78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3FCF3A8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6DC4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CA2ED" w14:textId="353DC5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31493" w14:textId="10E6C9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900E6" w14:textId="3289AF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46BEC" w14:textId="6D4990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63B4EDF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53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0C3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8610" w14:textId="06A88C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B7A0" w14:textId="59EC211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6E97" w14:textId="0CA0F3E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4BD4" w14:textId="33F9AC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F74039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9F06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5B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0478" w14:textId="1BB3DD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6BD4" w14:textId="02EDB0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5DC9" w14:textId="77FC634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C396" w14:textId="2B13BB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275C7F8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BB21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C3091" w14:textId="4C35A6E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FE918" w14:textId="2469076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DFCF5" w14:textId="4EB02D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E2889" w14:textId="6D7D499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43530B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5316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6B7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009B" w14:textId="525089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0E61" w14:textId="21DF84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716F" w14:textId="6E5145B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9321" w14:textId="21777C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0CC75BF4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7B49BBCE" w:rsidR="003B5534" w:rsidRPr="00610BC8" w:rsidRDefault="00EF54A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>A total of</w:t>
      </w:r>
      <w:r w:rsidR="00B806BD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5E53CC" w:rsidRPr="005E53CC">
        <w:rPr>
          <w:rFonts w:ascii="Arial" w:hAnsi="Arial" w:cs="Arial"/>
          <w:b/>
          <w:bCs/>
          <w:color w:val="0070C0"/>
          <w:sz w:val="24"/>
          <w:szCs w:val="24"/>
        </w:rPr>
        <w:t>1,20</w:t>
      </w:r>
      <w:r w:rsidR="006D1582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5E53CC" w:rsidRPr="005E53C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houses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5E53CC" w:rsidRPr="005E53CC">
        <w:rPr>
          <w:rFonts w:ascii="Arial" w:hAnsi="Arial" w:cs="Arial"/>
          <w:b/>
          <w:color w:val="0070C0"/>
          <w:sz w:val="24"/>
          <w:szCs w:val="24"/>
        </w:rPr>
        <w:t>28</w:t>
      </w:r>
      <w:r w:rsidR="006D1582">
        <w:rPr>
          <w:rFonts w:ascii="Arial" w:hAnsi="Arial" w:cs="Arial"/>
          <w:b/>
          <w:color w:val="0070C0"/>
          <w:sz w:val="24"/>
          <w:szCs w:val="24"/>
        </w:rPr>
        <w:t>7</w:t>
      </w:r>
      <w:r w:rsidR="00F91FCB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and </w:t>
      </w:r>
      <w:r w:rsidR="005E53CC" w:rsidRPr="005E53CC">
        <w:rPr>
          <w:rFonts w:ascii="Arial" w:hAnsi="Arial" w:cs="Arial"/>
          <w:b/>
          <w:bCs/>
          <w:color w:val="0070C0"/>
          <w:sz w:val="24"/>
          <w:szCs w:val="24"/>
        </w:rPr>
        <w:t>91</w:t>
      </w:r>
      <w:r w:rsidR="006D1582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5E53CC" w:rsidRPr="005E53C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in </w:t>
      </w:r>
      <w:r w:rsidR="003B5534" w:rsidRPr="00610BC8">
        <w:rPr>
          <w:rFonts w:ascii="Arial" w:hAnsi="Arial" w:cs="Arial"/>
          <w:b/>
          <w:sz w:val="24"/>
          <w:szCs w:val="24"/>
        </w:rPr>
        <w:t xml:space="preserve">Regions </w:t>
      </w:r>
      <w:r w:rsidR="00F91FCB" w:rsidRPr="00610BC8">
        <w:rPr>
          <w:rFonts w:ascii="Arial" w:hAnsi="Arial" w:cs="Arial"/>
          <w:b/>
          <w:sz w:val="24"/>
          <w:szCs w:val="24"/>
        </w:rPr>
        <w:t>II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and </w:t>
      </w:r>
      <w:r w:rsidR="00F91FCB" w:rsidRPr="00610BC8">
        <w:rPr>
          <w:rFonts w:ascii="Arial" w:hAnsi="Arial" w:cs="Arial"/>
          <w:b/>
          <w:sz w:val="24"/>
          <w:szCs w:val="24"/>
        </w:rPr>
        <w:t>CAR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06"/>
        <w:gridCol w:w="1328"/>
        <w:gridCol w:w="1328"/>
        <w:gridCol w:w="1328"/>
      </w:tblGrid>
      <w:tr w:rsidR="006D1582" w:rsidRPr="006D1582" w14:paraId="4284026D" w14:textId="77777777" w:rsidTr="006D1582">
        <w:trPr>
          <w:trHeight w:val="20"/>
        </w:trPr>
        <w:tc>
          <w:tcPr>
            <w:tcW w:w="2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F36EE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F336A4" w14:textId="146FAB5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D1582" w:rsidRPr="006D1582" w14:paraId="333C9CBF" w14:textId="77777777" w:rsidTr="006D1582">
        <w:trPr>
          <w:trHeight w:val="20"/>
        </w:trPr>
        <w:tc>
          <w:tcPr>
            <w:tcW w:w="2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136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5F82FB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3096E0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18D1F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D1582" w:rsidRPr="006D1582" w14:paraId="3646BF60" w14:textId="77777777" w:rsidTr="006D1582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B22CA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7D29E" w14:textId="52B138E5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07C9F9" w14:textId="7FC190AD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DC0F61" w14:textId="40D0FF5A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917 </w:t>
            </w:r>
          </w:p>
        </w:tc>
      </w:tr>
      <w:tr w:rsidR="006D1582" w:rsidRPr="006D1582" w14:paraId="06B5A4DF" w14:textId="77777777" w:rsidTr="006D1582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28961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1411B4" w14:textId="44C97E0B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81C8E" w14:textId="6352951C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C3838" w14:textId="7D1013AD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914 </w:t>
            </w:r>
          </w:p>
        </w:tc>
      </w:tr>
      <w:tr w:rsidR="006D1582" w:rsidRPr="006D1582" w14:paraId="60B8F85D" w14:textId="77777777" w:rsidTr="006D1582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2C167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23D59" w14:textId="5062B183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84A43" w14:textId="41B0B1D2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5C3E6" w14:textId="420639DA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</w:tr>
      <w:tr w:rsidR="006D1582" w:rsidRPr="006D1582" w14:paraId="27AD0151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CEF4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C84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93E6" w14:textId="23C50DE4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A536" w14:textId="01646DB5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ED79" w14:textId="114F24DD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279 </w:t>
            </w:r>
          </w:p>
        </w:tc>
      </w:tr>
      <w:tr w:rsidR="006D1582" w:rsidRPr="006D1582" w14:paraId="0988A803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8496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F17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8EDE" w14:textId="7816D83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A14F" w14:textId="30BD2F8D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1231" w14:textId="2BB95196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6D1582" w:rsidRPr="006D1582" w14:paraId="6799F2CB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2362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954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F0AE" w14:textId="69943C6C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10E9" w14:textId="73391A09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A259" w14:textId="563591CC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6D1582" w:rsidRPr="006D1582" w14:paraId="49B3965A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43402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F78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0F33" w14:textId="423E29CD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D57F" w14:textId="21C99D88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24EE" w14:textId="25F37CE6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D1582" w:rsidRPr="006D1582" w14:paraId="4600F3C0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BD703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392D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37D5" w14:textId="7BA0E3E1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C0F8" w14:textId="6F264665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B4B9" w14:textId="00FA24CC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6D1582" w:rsidRPr="006D1582" w14:paraId="0C4FE1A0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DEB9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E1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A5EA" w14:textId="0303625A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CF43" w14:textId="12F820F5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FB3B" w14:textId="020F41B1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6D1582" w:rsidRPr="006D1582" w14:paraId="270FFBE3" w14:textId="77777777" w:rsidTr="006D1582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F6CC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CC3DD" w14:textId="165B5A8A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2F0B1" w14:textId="2F8A4908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89670" w14:textId="099B0709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D1582" w:rsidRPr="006D1582" w14:paraId="7653D9E6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F0BF5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7D5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2316" w14:textId="1374AE70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CA79" w14:textId="18CC2F7F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68BC" w14:textId="14470AEF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D1582" w:rsidRPr="006D1582" w14:paraId="5D20D7EB" w14:textId="77777777" w:rsidTr="006D1582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DB3216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D2E44" w14:textId="1096C0DD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84A9FD" w14:textId="567F095F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7A2D19" w14:textId="04867FC0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6D1582" w:rsidRPr="006D1582" w14:paraId="7E508BF3" w14:textId="77777777" w:rsidTr="006D1582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84948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Abra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0331C" w14:textId="676E6770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59ED9" w14:textId="740F6E03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BD754" w14:textId="677B6A49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6D1582" w:rsidRPr="006D1582" w14:paraId="466B540D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5F2B1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759A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4DD0" w14:textId="0EAEAAC5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1F98" w14:textId="70DB61E6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EDF2" w14:textId="14EDC2DA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6D1582" w:rsidRPr="006D1582" w14:paraId="247340D7" w14:textId="77777777" w:rsidTr="006D1582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4495F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F8266" w14:textId="08A80B9F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A6870" w14:textId="3AF6D241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53AF3" w14:textId="1DA8EBC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D1582" w:rsidRPr="006D1582" w14:paraId="0EEBF584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B334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D77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60AC" w14:textId="1EE641B4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A245" w14:textId="61AD30DA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E73E" w14:textId="194A7A06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6D1582" w:rsidRPr="006D1582" w14:paraId="13FC8CEF" w14:textId="77777777" w:rsidTr="006D15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68114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919C" w14:textId="77777777" w:rsidR="006D1582" w:rsidRPr="006D1582" w:rsidRDefault="006D1582" w:rsidP="006D1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1A77" w14:textId="3BFAE85C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0666" w14:textId="5877A734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2F41" w14:textId="44F742DF" w:rsidR="006D1582" w:rsidRPr="006D1582" w:rsidRDefault="006D1582" w:rsidP="006D1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15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0DB91A60" w14:textId="2EA0DFD9" w:rsidR="003F3661" w:rsidRPr="003F3661" w:rsidRDefault="00F91FCB" w:rsidP="003F3661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  <w:r w:rsid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08C2BBA3" w14:textId="6B72D07E" w:rsidR="003B5534" w:rsidRPr="003C61C6" w:rsidRDefault="00F91FCB" w:rsidP="003C61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9C621DE" w14:textId="77777777" w:rsidR="00B806BD" w:rsidRDefault="00B806BD" w:rsidP="00B806B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D55436" w14:textId="03CC2578" w:rsidR="00E27A0E" w:rsidRDefault="00E27A0E" w:rsidP="00E27A0E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B0C8E09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3F2CBA8F" w:rsidR="00E27A0E" w:rsidRPr="006D1582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D1582">
        <w:rPr>
          <w:rFonts w:ascii="Arial" w:hAnsi="Arial" w:cs="Arial"/>
          <w:bCs/>
          <w:sz w:val="24"/>
          <w:szCs w:val="24"/>
        </w:rPr>
        <w:t xml:space="preserve">A total of </w:t>
      </w:r>
      <w:r w:rsidRPr="006D1582">
        <w:rPr>
          <w:rFonts w:ascii="Arial" w:hAnsi="Arial" w:cs="Arial"/>
          <w:b/>
          <w:sz w:val="24"/>
          <w:szCs w:val="24"/>
        </w:rPr>
        <w:t>₱</w:t>
      </w:r>
      <w:r w:rsidR="002B5094" w:rsidRPr="006D1582">
        <w:rPr>
          <w:rFonts w:ascii="Arial" w:hAnsi="Arial" w:cs="Arial"/>
          <w:b/>
          <w:bCs/>
          <w:sz w:val="24"/>
          <w:szCs w:val="24"/>
        </w:rPr>
        <w:t xml:space="preserve">1,653,812.00 </w:t>
      </w:r>
      <w:r w:rsidRPr="006D1582">
        <w:rPr>
          <w:rFonts w:ascii="Arial" w:hAnsi="Arial" w:cs="Arial"/>
          <w:bCs/>
          <w:sz w:val="24"/>
          <w:szCs w:val="24"/>
        </w:rPr>
        <w:t>worth of assistance was provided</w:t>
      </w:r>
      <w:r w:rsidR="002C0794" w:rsidRPr="006D1582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6D1582">
        <w:rPr>
          <w:rFonts w:ascii="Arial" w:hAnsi="Arial" w:cs="Arial"/>
          <w:b/>
          <w:sz w:val="24"/>
          <w:szCs w:val="24"/>
        </w:rPr>
        <w:t>₱</w:t>
      </w:r>
      <w:r w:rsidR="002B5094" w:rsidRPr="006D1582">
        <w:rPr>
          <w:rFonts w:ascii="Arial" w:hAnsi="Arial" w:cs="Arial"/>
          <w:b/>
          <w:bCs/>
          <w:sz w:val="24"/>
          <w:szCs w:val="24"/>
        </w:rPr>
        <w:t xml:space="preserve">1,034,172.00 </w:t>
      </w:r>
      <w:r w:rsidR="002C0794" w:rsidRPr="006D1582">
        <w:rPr>
          <w:rFonts w:ascii="Arial" w:hAnsi="Arial" w:cs="Arial"/>
          <w:bCs/>
          <w:sz w:val="24"/>
          <w:szCs w:val="24"/>
        </w:rPr>
        <w:t>from</w:t>
      </w:r>
      <w:r w:rsidRPr="006D1582">
        <w:rPr>
          <w:rFonts w:ascii="Arial" w:hAnsi="Arial" w:cs="Arial"/>
          <w:bCs/>
          <w:sz w:val="24"/>
          <w:szCs w:val="24"/>
        </w:rPr>
        <w:t xml:space="preserve"> </w:t>
      </w:r>
      <w:r w:rsidR="002C0794" w:rsidRPr="006D1582">
        <w:rPr>
          <w:rFonts w:ascii="Arial" w:hAnsi="Arial" w:cs="Arial"/>
          <w:b/>
          <w:sz w:val="24"/>
          <w:szCs w:val="24"/>
        </w:rPr>
        <w:t xml:space="preserve">DSWD </w:t>
      </w:r>
      <w:r w:rsidR="002C0794" w:rsidRPr="006D1582">
        <w:rPr>
          <w:rFonts w:ascii="Arial" w:hAnsi="Arial" w:cs="Arial"/>
          <w:sz w:val="24"/>
          <w:szCs w:val="24"/>
        </w:rPr>
        <w:t>and</w:t>
      </w:r>
      <w:r w:rsidR="002C0794" w:rsidRPr="006D1582">
        <w:rPr>
          <w:rFonts w:ascii="Arial" w:hAnsi="Arial" w:cs="Arial"/>
          <w:b/>
          <w:sz w:val="24"/>
          <w:szCs w:val="24"/>
        </w:rPr>
        <w:t xml:space="preserve"> ₱</w:t>
      </w:r>
      <w:r w:rsidR="00000DCD" w:rsidRPr="006D1582">
        <w:rPr>
          <w:rFonts w:ascii="Arial" w:hAnsi="Arial" w:cs="Arial"/>
          <w:b/>
          <w:bCs/>
          <w:sz w:val="24"/>
          <w:szCs w:val="24"/>
        </w:rPr>
        <w:t xml:space="preserve">619,640.00 </w:t>
      </w:r>
      <w:r w:rsidR="002C0794" w:rsidRPr="006D1582">
        <w:rPr>
          <w:rFonts w:ascii="Arial" w:hAnsi="Arial" w:cs="Arial"/>
          <w:bCs/>
          <w:sz w:val="24"/>
          <w:szCs w:val="24"/>
        </w:rPr>
        <w:t>from the</w:t>
      </w:r>
      <w:r w:rsidR="002C0794" w:rsidRPr="006D1582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 w:rsidRPr="006D1582">
        <w:rPr>
          <w:rFonts w:ascii="Arial" w:hAnsi="Arial" w:cs="Arial"/>
          <w:b/>
          <w:sz w:val="24"/>
          <w:szCs w:val="24"/>
        </w:rPr>
        <w:t>L</w:t>
      </w:r>
      <w:r w:rsidRPr="006D1582">
        <w:rPr>
          <w:rFonts w:ascii="Arial" w:hAnsi="Arial" w:cs="Arial"/>
          <w:b/>
          <w:sz w:val="24"/>
          <w:szCs w:val="24"/>
        </w:rPr>
        <w:t>ocal</w:t>
      </w:r>
      <w:r w:rsidRPr="006D1582">
        <w:rPr>
          <w:rFonts w:ascii="Arial" w:hAnsi="Arial" w:cs="Arial"/>
          <w:b/>
          <w:sz w:val="28"/>
          <w:szCs w:val="24"/>
        </w:rPr>
        <w:t xml:space="preserve"> </w:t>
      </w:r>
      <w:r w:rsidRPr="006D1582">
        <w:rPr>
          <w:rFonts w:ascii="Arial" w:hAnsi="Arial" w:cs="Arial"/>
          <w:b/>
          <w:sz w:val="24"/>
          <w:szCs w:val="24"/>
        </w:rPr>
        <w:t>Government Unit</w:t>
      </w:r>
      <w:r w:rsidR="00E96A81" w:rsidRPr="006D1582">
        <w:rPr>
          <w:rFonts w:ascii="Arial" w:hAnsi="Arial" w:cs="Arial"/>
          <w:b/>
          <w:sz w:val="24"/>
          <w:szCs w:val="24"/>
        </w:rPr>
        <w:t>s</w:t>
      </w:r>
      <w:r w:rsidRPr="006D1582">
        <w:rPr>
          <w:rFonts w:ascii="Arial" w:hAnsi="Arial" w:cs="Arial"/>
          <w:b/>
          <w:sz w:val="24"/>
          <w:szCs w:val="24"/>
        </w:rPr>
        <w:t xml:space="preserve"> (LGU</w:t>
      </w:r>
      <w:r w:rsidR="002C0794" w:rsidRPr="006D1582">
        <w:rPr>
          <w:rFonts w:ascii="Arial" w:hAnsi="Arial" w:cs="Arial"/>
          <w:b/>
          <w:sz w:val="24"/>
          <w:szCs w:val="24"/>
        </w:rPr>
        <w:t>s</w:t>
      </w:r>
      <w:r w:rsidRPr="006D1582">
        <w:rPr>
          <w:rFonts w:ascii="Arial" w:hAnsi="Arial" w:cs="Arial"/>
          <w:b/>
          <w:sz w:val="24"/>
          <w:szCs w:val="24"/>
        </w:rPr>
        <w:t>)</w:t>
      </w:r>
      <w:r w:rsidR="002C0794" w:rsidRPr="006D1582">
        <w:rPr>
          <w:rFonts w:ascii="Arial" w:hAnsi="Arial" w:cs="Arial"/>
          <w:b/>
          <w:sz w:val="24"/>
          <w:szCs w:val="24"/>
        </w:rPr>
        <w:t xml:space="preserve"> </w:t>
      </w:r>
      <w:r w:rsidRPr="006D1582">
        <w:rPr>
          <w:rFonts w:ascii="Arial" w:hAnsi="Arial" w:cs="Arial"/>
          <w:bCs/>
          <w:sz w:val="24"/>
          <w:szCs w:val="24"/>
        </w:rPr>
        <w:t>(see Table 6).</w:t>
      </w:r>
    </w:p>
    <w:p w14:paraId="0AD9B2C0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9528F5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65" w:type="pct"/>
        <w:tblInd w:w="421" w:type="dxa"/>
        <w:tblLook w:val="04A0" w:firstRow="1" w:lastRow="0" w:firstColumn="1" w:lastColumn="0" w:noHBand="0" w:noVBand="1"/>
      </w:tblPr>
      <w:tblGrid>
        <w:gridCol w:w="329"/>
        <w:gridCol w:w="2788"/>
        <w:gridCol w:w="1441"/>
        <w:gridCol w:w="1330"/>
        <w:gridCol w:w="841"/>
        <w:gridCol w:w="1108"/>
        <w:gridCol w:w="1442"/>
      </w:tblGrid>
      <w:tr w:rsidR="002B5094" w:rsidRPr="002B5094" w14:paraId="022562B3" w14:textId="77777777" w:rsidTr="002B5094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97B9A5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B9ACC2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2B5094" w:rsidRPr="002B5094" w14:paraId="2FC3D2A4" w14:textId="77777777" w:rsidTr="002B5094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8404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2F59CE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951133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LGUs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19172" w14:textId="787837F6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F57391" w14:textId="3707CADC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5F6183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2B5094" w:rsidRPr="002B5094" w14:paraId="6C70288E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53AD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F22BE" w14:textId="074F315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1,034,172.00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34CEA8" w14:textId="196EBA1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619,640.00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E8D1A2" w14:textId="3FDAB94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BEFC15" w14:textId="5DFBD40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D98F5D" w14:textId="68B090E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1,653,812.00 </w:t>
            </w:r>
          </w:p>
        </w:tc>
      </w:tr>
      <w:tr w:rsidR="002B5094" w:rsidRPr="002B5094" w14:paraId="3E648160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D0BF3B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506C9" w14:textId="61F7709D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22A61" w14:textId="50881C6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607,400.00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0B183" w14:textId="07664AD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6EC8C" w14:textId="4FBC572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D775F" w14:textId="46A330E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607,400.00 </w:t>
            </w:r>
          </w:p>
        </w:tc>
      </w:tr>
      <w:tr w:rsidR="002B5094" w:rsidRPr="002B5094" w14:paraId="6E8A092D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40290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Norte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31B1D" w14:textId="7B8E575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40859" w14:textId="4BBAF12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217,900.00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0E585" w14:textId="4D3196C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1F915" w14:textId="1179097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D6556" w14:textId="73864A7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217,900.00 </w:t>
            </w:r>
          </w:p>
        </w:tc>
      </w:tr>
      <w:tr w:rsidR="002B5094" w:rsidRPr="002B5094" w14:paraId="2CF4C074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F8FC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BC4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DCBD" w14:textId="4BF0A02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1C8B" w14:textId="693CD74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172,000.00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F131" w14:textId="44B5742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9F79" w14:textId="165D5801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A10D" w14:textId="1605D6F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172,000.00 </w:t>
            </w:r>
          </w:p>
        </w:tc>
      </w:tr>
      <w:tr w:rsidR="002B5094" w:rsidRPr="002B5094" w14:paraId="5E9943A9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F516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29C1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Currimao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A602" w14:textId="63A5828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6CD9" w14:textId="6808967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9DAA" w14:textId="565ED52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84FC" w14:textId="0E5FC66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85B3" w14:textId="5C96781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1,200.00 </w:t>
            </w:r>
          </w:p>
        </w:tc>
      </w:tr>
      <w:tr w:rsidR="002B5094" w:rsidRPr="002B5094" w14:paraId="7EFD723D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58AE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97F6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7C40" w14:textId="0066DA4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92D2" w14:textId="6D43B34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44,700.00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4787" w14:textId="4E68F05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B33A" w14:textId="0B92B57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7FD9" w14:textId="19CEA0C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44,700.00 </w:t>
            </w:r>
          </w:p>
        </w:tc>
      </w:tr>
      <w:tr w:rsidR="002B5094" w:rsidRPr="002B5094" w14:paraId="13304998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47C2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BD6E3" w14:textId="0612FF8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F7977" w14:textId="343D3B4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389,500.00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38A25" w14:textId="65237FE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784F4" w14:textId="14D116C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48AD6" w14:textId="477224C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389,500.00 </w:t>
            </w:r>
          </w:p>
        </w:tc>
      </w:tr>
      <w:tr w:rsidR="002B5094" w:rsidRPr="002B5094" w14:paraId="75A86B3B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40DEE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48C3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50DB" w14:textId="37D59C1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D0AE" w14:textId="37692D2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389,500.00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6513" w14:textId="7B3CC1F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56C7" w14:textId="5F5DF36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F813" w14:textId="2479CA7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389,500.00 </w:t>
            </w:r>
          </w:p>
        </w:tc>
      </w:tr>
      <w:tr w:rsidR="002B5094" w:rsidRPr="002B5094" w14:paraId="1CA4197E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26AF71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256961" w14:textId="1E22C72F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979,272.00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8743A" w14:textId="7FDC947B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9F7B36" w14:textId="645BA2B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468B8D" w14:textId="5C7A63AF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49543" w14:textId="2EC6E96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979,272.00 </w:t>
            </w:r>
          </w:p>
        </w:tc>
      </w:tr>
      <w:tr w:rsidR="002B5094" w:rsidRPr="002B5094" w14:paraId="00AA8128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2AB4C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2691C" w14:textId="2F99BB4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307,200.00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74397" w14:textId="5BB48DD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8F1C4" w14:textId="4323E5A5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FB410" w14:textId="5AFB997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B84B4" w14:textId="4DF8146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307,200.00 </w:t>
            </w:r>
          </w:p>
        </w:tc>
      </w:tr>
      <w:tr w:rsidR="002B5094" w:rsidRPr="002B5094" w14:paraId="4943589E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9821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A7A4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35C1" w14:textId="1C89A1C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307,200.00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EFF3" w14:textId="6144BC9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1804" w14:textId="4CCF3B2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2A05" w14:textId="548E0C65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D01E" w14:textId="016EC0F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307,200.00 </w:t>
            </w:r>
          </w:p>
        </w:tc>
      </w:tr>
      <w:tr w:rsidR="002B5094" w:rsidRPr="002B5094" w14:paraId="4521A000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86A8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AC07" w14:textId="1E00F00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672,072.00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96FF1" w14:textId="0F02CC8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863DD" w14:textId="0F77CD5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C041A" w14:textId="48BEE1F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64C16" w14:textId="77F422F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672,072.00 </w:t>
            </w:r>
          </w:p>
        </w:tc>
      </w:tr>
      <w:tr w:rsidR="002B5094" w:rsidRPr="002B5094" w14:paraId="390712FF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F724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036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8D9E" w14:textId="440682A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376,872.00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CD81" w14:textId="57CAA48B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7EF1" w14:textId="6139837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BC6B" w14:textId="6971BF7D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18AD" w14:textId="1FFC4195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376,872.00 </w:t>
            </w:r>
          </w:p>
        </w:tc>
      </w:tr>
      <w:tr w:rsidR="002B5094" w:rsidRPr="002B5094" w14:paraId="4E27D4CE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91B5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BB1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8375" w14:textId="041B872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295,200.00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E843" w14:textId="7DB20B9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1420" w14:textId="354DD4C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FBE5" w14:textId="6D720E8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6C17" w14:textId="7C8A37E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295,200.00 </w:t>
            </w:r>
          </w:p>
        </w:tc>
      </w:tr>
      <w:tr w:rsidR="002B5094" w:rsidRPr="002B5094" w14:paraId="33879A99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1BBE9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CC728" w14:textId="7662643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54,900.00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12ADD" w14:textId="1E19F29F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12,240.00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63841" w14:textId="4943A53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8D287" w14:textId="7468FA2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178BC" w14:textId="3CBF5B8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67,140.00 </w:t>
            </w:r>
          </w:p>
        </w:tc>
      </w:tr>
      <w:tr w:rsidR="002B5094" w:rsidRPr="002B5094" w14:paraId="7B4F4F0E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2BBF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F182" w14:textId="3C953931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54,900.00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AEEF3" w14:textId="36401B2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12,240.00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DE19B" w14:textId="642686E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4BE91" w14:textId="3103450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F908D" w14:textId="773CD0CB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67,140.00 </w:t>
            </w:r>
          </w:p>
        </w:tc>
      </w:tr>
      <w:tr w:rsidR="002B5094" w:rsidRPr="002B5094" w14:paraId="6E5367F7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B536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AC75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0E85" w14:textId="24A4CC8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54,900.00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F4A2" w14:textId="5E0F8CC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12,240.00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CF68" w14:textId="67922AD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997B" w14:textId="03413C5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CF37" w14:textId="2C6C873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67,140.00 </w:t>
            </w:r>
          </w:p>
        </w:tc>
      </w:tr>
    </w:tbl>
    <w:p w14:paraId="7031F8C5" w14:textId="26EA4169" w:rsidR="003F3661" w:rsidRPr="00FE7C33" w:rsidRDefault="003F3661" w:rsidP="003F366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Cost of assistance provided by the LGU in Currimao, Ilocos Norte decreased based on the validated report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submitted by DSWD-FO I. </w:t>
      </w:r>
    </w:p>
    <w:p w14:paraId="7B52120C" w14:textId="1F181198" w:rsidR="00E27A0E" w:rsidRPr="00FE7C33" w:rsidRDefault="007F3EC9" w:rsidP="00E27A0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E127D16" w14:textId="77777777" w:rsidR="00E27A0E" w:rsidRDefault="00E27A0E" w:rsidP="00333AB0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6FC0448B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201DF77" w14:textId="1D1C1B0D" w:rsidR="00F874F4" w:rsidRPr="00AB302C" w:rsidRDefault="00F91FCB" w:rsidP="00AB302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809" w:type="pct"/>
        <w:tblInd w:w="416" w:type="dxa"/>
        <w:tblLook w:val="04A0" w:firstRow="1" w:lastRow="0" w:firstColumn="1" w:lastColumn="0" w:noHBand="0" w:noVBand="1"/>
      </w:tblPr>
      <w:tblGrid>
        <w:gridCol w:w="1416"/>
        <w:gridCol w:w="1414"/>
        <w:gridCol w:w="1112"/>
        <w:gridCol w:w="1416"/>
        <w:gridCol w:w="2296"/>
        <w:gridCol w:w="1701"/>
      </w:tblGrid>
      <w:tr w:rsidR="00333AB0" w:rsidRPr="00333AB0" w14:paraId="12B85710" w14:textId="77777777" w:rsidTr="00333AB0">
        <w:trPr>
          <w:trHeight w:val="20"/>
          <w:tblHeader/>
        </w:trPr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8D1A07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7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D0529A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B7B7"/>
            <w:vAlign w:val="center"/>
            <w:hideMark/>
          </w:tcPr>
          <w:p w14:paraId="7A1AD4C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STOCKPILE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2611D9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333AB0" w:rsidRPr="00333AB0" w14:paraId="2403E3AB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BF6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AB96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1D7F4C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FAMILY FOOD PACKS</w:t>
            </w:r>
          </w:p>
        </w:tc>
        <w:tc>
          <w:tcPr>
            <w:tcW w:w="12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4D6EF0E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C7B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6F61A17E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DA5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C6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1AF9710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72832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2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EF0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DC313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1E417F8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F7D46B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40E1878" w14:textId="3D18F98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439,385,891.73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BCD8C76" w14:textId="1615EBED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388,914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7924EAD" w14:textId="7E8904A7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223,279,239.67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2E12B73" w14:textId="24484B3E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674,788,377.60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34CA422" w14:textId="5CF98EAC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1,337,453,509.00</w:t>
            </w:r>
          </w:p>
        </w:tc>
      </w:tr>
      <w:tr w:rsidR="00333AB0" w:rsidRPr="00333AB0" w14:paraId="66C63044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02F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4614" w14:textId="3C28F3F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380,101,048.37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408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5B3D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E9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F2548" w14:textId="5834565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380,101,048,.37</w:t>
            </w:r>
          </w:p>
        </w:tc>
      </w:tr>
      <w:tr w:rsidR="00333AB0" w:rsidRPr="00333AB0" w14:paraId="79747768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69D3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DC4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1E664" w14:textId="76924191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63,443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4632" w14:textId="23BBD22F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47,753,165.60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1CB05" w14:textId="2B674260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191,241,441.94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67D5F" w14:textId="7A0236B3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238,994,607.54</w:t>
            </w:r>
          </w:p>
        </w:tc>
      </w:tr>
      <w:tr w:rsidR="00333AB0" w:rsidRPr="00333AB0" w14:paraId="464DCBF1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BF1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242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6D2DE" w14:textId="1833779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1,734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500F" w14:textId="2812F16A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823,650.00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03F3E" w14:textId="032B6453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28,894,227.86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07AA" w14:textId="3BF6C28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29,717,877.86</w:t>
            </w:r>
          </w:p>
        </w:tc>
      </w:tr>
      <w:tr w:rsidR="00333AB0" w:rsidRPr="00333AB0" w14:paraId="4DD248E2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5A57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493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5,091,035.20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1A19" w14:textId="23779A6A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27,054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1DBA" w14:textId="206495C0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13,797,540.00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5118" w14:textId="707C5DDC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39,967,966.23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DEE78" w14:textId="57FF5213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58,856,541.43</w:t>
            </w:r>
          </w:p>
        </w:tc>
      </w:tr>
      <w:tr w:rsidR="00333AB0" w:rsidRPr="00333AB0" w14:paraId="2E81074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2F76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9A9B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80,962.68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C5E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17,705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F2E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7,244,934.00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2B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17,827,309.92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CE4C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25,153,206.60</w:t>
            </w:r>
          </w:p>
        </w:tc>
      </w:tr>
      <w:tr w:rsidR="00333AB0" w:rsidRPr="00333AB0" w14:paraId="3255A13B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0DAA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0FE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5,920,079.12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F533" w14:textId="556C4757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28,203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E9A44" w14:textId="7F440600" w:rsidR="00443A5C" w:rsidRPr="00333AB0" w:rsidRDefault="00783F3B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14,711</w:t>
            </w:r>
            <w:r w:rsidR="00F1644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,084.72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FC65" w14:textId="1C21E3D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23,666,285.76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726E" w14:textId="0BE7DB60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44,297,449.60</w:t>
            </w:r>
          </w:p>
        </w:tc>
      </w:tr>
      <w:tr w:rsidR="00333AB0" w:rsidRPr="00333AB0" w14:paraId="0BAD93AD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21E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Other FOs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BA7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48,192,766.36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4FE0" w14:textId="27BE1238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250,775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2183" w14:textId="1467B04F" w:rsidR="00443A5C" w:rsidRPr="00333AB0" w:rsidRDefault="00783F3B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133,135,792.00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46FF5" w14:textId="2A5D0CE8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373,191,145.89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81440" w14:textId="6A2E14D2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560,332,777.60</w:t>
            </w:r>
          </w:p>
        </w:tc>
      </w:tr>
    </w:tbl>
    <w:p w14:paraId="49F9177C" w14:textId="6B2E06B8" w:rsidR="003F3661" w:rsidRPr="00AB302C" w:rsidRDefault="006B36B6" w:rsidP="00AB302C">
      <w:pPr>
        <w:pStyle w:val="NoSpacing"/>
        <w:ind w:firstLine="567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443A5C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783F3B">
        <w:rPr>
          <w:rFonts w:ascii="Arial" w:hAnsi="Arial" w:cs="Arial"/>
          <w:i/>
          <w:sz w:val="16"/>
          <w:szCs w:val="24"/>
        </w:rPr>
        <w:t>22</w:t>
      </w:r>
      <w:r w:rsidR="00AB302C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04EE039C" w14:textId="07BC1187" w:rsidR="00E73041" w:rsidRPr="00AB302C" w:rsidRDefault="006B36B6" w:rsidP="00AB30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lastRenderedPageBreak/>
        <w:t>Source: DSWD-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National Resource and Logistics Management Bureau (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7317665D" w14:textId="77777777" w:rsidR="002B5094" w:rsidRDefault="002B5094" w:rsidP="002B5094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1CEDDA89" w14:textId="31FDDD1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3E23BC51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8430A">
        <w:rPr>
          <w:rFonts w:ascii="Arial" w:eastAsia="Arial" w:hAnsi="Arial" w:cs="Arial"/>
          <w:sz w:val="24"/>
          <w:szCs w:val="24"/>
        </w:rPr>
        <w:t>380.10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7E8AD0AE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21671">
        <w:rPr>
          <w:rFonts w:ascii="Arial" w:eastAsia="Arial" w:hAnsi="Arial" w:cs="Arial"/>
          <w:sz w:val="24"/>
          <w:szCs w:val="24"/>
        </w:rPr>
        <w:t>1</w:t>
      </w:r>
      <w:r w:rsidR="007B0E53">
        <w:rPr>
          <w:rFonts w:ascii="Arial" w:eastAsia="Arial" w:hAnsi="Arial" w:cs="Arial"/>
          <w:sz w:val="24"/>
          <w:szCs w:val="24"/>
        </w:rPr>
        <w:t>1.09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265E45BA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03F4C">
        <w:rPr>
          <w:rFonts w:ascii="Arial" w:hAnsi="Arial" w:cs="Arial"/>
          <w:sz w:val="24"/>
          <w:szCs w:val="24"/>
        </w:rPr>
        <w:t>48.19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0B14D0">
        <w:rPr>
          <w:rFonts w:ascii="Arial" w:hAnsi="Arial" w:cs="Arial"/>
          <w:sz w:val="24"/>
          <w:szCs w:val="24"/>
        </w:rPr>
        <w:t>Typhoon</w:t>
      </w:r>
      <w:r>
        <w:rPr>
          <w:rFonts w:ascii="Arial" w:hAnsi="Arial" w:cs="Arial"/>
          <w:sz w:val="24"/>
          <w:szCs w:val="24"/>
        </w:rPr>
        <w:t xml:space="preserve">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245B2926" w:rsidR="008136AC" w:rsidRDefault="00E8430A" w:rsidP="00903F4C">
      <w:pPr>
        <w:pStyle w:val="ListParagraph"/>
        <w:numPr>
          <w:ilvl w:val="2"/>
          <w:numId w:val="6"/>
        </w:numPr>
        <w:spacing w:after="0" w:line="240" w:lineRule="auto"/>
        <w:ind w:left="1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CE668A">
        <w:rPr>
          <w:rFonts w:ascii="Arial" w:eastAsia="Arial" w:hAnsi="Arial" w:cs="Arial"/>
          <w:sz w:val="24"/>
          <w:szCs w:val="24"/>
        </w:rPr>
        <w:t>5,177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CE668A">
        <w:rPr>
          <w:rFonts w:ascii="Arial" w:eastAsia="Arial" w:hAnsi="Arial" w:cs="Arial"/>
          <w:sz w:val="24"/>
          <w:szCs w:val="24"/>
        </w:rPr>
        <w:t>63,443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1,734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4786084C" w:rsidR="008136AC" w:rsidRDefault="00E8430A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72,</w:t>
      </w:r>
      <w:r w:rsidR="00CE668A">
        <w:rPr>
          <w:rFonts w:ascii="Arial" w:eastAsia="Arial" w:hAnsi="Arial" w:cs="Arial"/>
          <w:sz w:val="24"/>
          <w:szCs w:val="24"/>
        </w:rPr>
        <w:t xml:space="preserve">962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00DC02EB" w:rsidR="008136AC" w:rsidRPr="008136AC" w:rsidRDefault="00E8430A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250,</w:t>
      </w:r>
      <w:r w:rsidR="00CE668A">
        <w:rPr>
          <w:rFonts w:ascii="Arial" w:eastAsia="Arial" w:hAnsi="Arial" w:cs="Arial"/>
          <w:sz w:val="24"/>
          <w:szCs w:val="24"/>
        </w:rPr>
        <w:t>775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0B14D0">
        <w:rPr>
          <w:rFonts w:ascii="Arial" w:hAnsi="Arial" w:cs="Arial"/>
          <w:sz w:val="24"/>
          <w:szCs w:val="24"/>
        </w:rPr>
        <w:t xml:space="preserve">Typhoon </w:t>
      </w:r>
      <w:r w:rsidR="00165CBC">
        <w:rPr>
          <w:rFonts w:ascii="Arial" w:hAnsi="Arial" w:cs="Arial"/>
          <w:sz w:val="24"/>
          <w:szCs w:val="24"/>
        </w:rPr>
        <w:t xml:space="preserve">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67927FC0" w:rsidR="009E6944" w:rsidRPr="00333AB0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8430A">
        <w:rPr>
          <w:rFonts w:ascii="Arial" w:eastAsia="Arial" w:hAnsi="Arial" w:cs="Arial"/>
          <w:sz w:val="24"/>
          <w:szCs w:val="24"/>
        </w:rPr>
        <w:t>6</w:t>
      </w:r>
      <w:r w:rsidR="00CE668A">
        <w:rPr>
          <w:rFonts w:ascii="Arial" w:eastAsia="Arial" w:hAnsi="Arial" w:cs="Arial"/>
          <w:sz w:val="24"/>
          <w:szCs w:val="24"/>
        </w:rPr>
        <w:t xml:space="preserve">74.79 </w:t>
      </w:r>
      <w:r w:rsidRPr="00D36B1A">
        <w:rPr>
          <w:rFonts w:ascii="Arial" w:eastAsia="Arial" w:hAnsi="Arial" w:cs="Arial"/>
          <w:sz w:val="24"/>
          <w:szCs w:val="24"/>
        </w:rPr>
        <w:t>million worth of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65B8FAA2" w14:textId="77777777" w:rsidR="00DC4A1C" w:rsidRPr="00FE7C33" w:rsidRDefault="00DC4A1C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58AFCAD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ADD0621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26A9CAFD" w:rsidR="00C354BD" w:rsidRPr="009203F3" w:rsidRDefault="00C354BD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70EF3BAB" w14:textId="77777777" w:rsidTr="009203F3">
        <w:trPr>
          <w:tblHeader/>
        </w:trPr>
        <w:tc>
          <w:tcPr>
            <w:tcW w:w="202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C0610" w:rsidRPr="006B4BAB" w14:paraId="31F01E9B" w14:textId="77777777" w:rsidTr="009203F3">
        <w:trPr>
          <w:tblHeader/>
        </w:trPr>
        <w:tc>
          <w:tcPr>
            <w:tcW w:w="2025" w:type="dxa"/>
          </w:tcPr>
          <w:p w14:paraId="0BDDFA1D" w14:textId="1C764C1A" w:rsidR="00BC0610" w:rsidRDefault="00D57D3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BC061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5DD0E50D" w14:textId="00B2B4E7" w:rsidR="00BC0610" w:rsidRPr="00BC0610" w:rsidRDefault="00D57D30" w:rsidP="00BC061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facilitated request for replenishment of standby funds to DRMB as well as request for FFPs, tents to NRLMB and procurement of raw materials equivalent to 10,000 FFPs</w:t>
            </w:r>
          </w:p>
        </w:tc>
      </w:tr>
      <w:tr w:rsidR="00D57D30" w:rsidRPr="006B4BAB" w14:paraId="475AA71F" w14:textId="77777777" w:rsidTr="009203F3">
        <w:trPr>
          <w:tblHeader/>
        </w:trPr>
        <w:tc>
          <w:tcPr>
            <w:tcW w:w="2025" w:type="dxa"/>
          </w:tcPr>
          <w:p w14:paraId="0D6B2684" w14:textId="698D699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62B15018" w14:textId="7118BCEA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provided 30 Hygiene Kits to LGU Santa Marcela.</w:t>
            </w:r>
          </w:p>
        </w:tc>
      </w:tr>
      <w:tr w:rsidR="00D57D30" w:rsidRPr="006B4BAB" w14:paraId="10983D10" w14:textId="77777777" w:rsidTr="009203F3">
        <w:trPr>
          <w:tblHeader/>
        </w:trPr>
        <w:tc>
          <w:tcPr>
            <w:tcW w:w="2025" w:type="dxa"/>
          </w:tcPr>
          <w:p w14:paraId="2D2F85B0" w14:textId="772E2065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3286ADC" w14:textId="053890FF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at the Regional Production Hubs was conducted.</w:t>
            </w:r>
          </w:p>
        </w:tc>
      </w:tr>
      <w:tr w:rsidR="00D57D30" w:rsidRPr="006B4BAB" w14:paraId="2F97777F" w14:textId="77777777" w:rsidTr="009203F3">
        <w:trPr>
          <w:tblHeader/>
        </w:trPr>
        <w:tc>
          <w:tcPr>
            <w:tcW w:w="2025" w:type="dxa"/>
          </w:tcPr>
          <w:p w14:paraId="24D11445" w14:textId="524FC5CD" w:rsidR="00D57D30" w:rsidRPr="006B4BAB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3910529E" w14:textId="77777777" w:rsidR="00D57D30" w:rsidRPr="00512042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r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equested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NRLMB for </w:t>
            </w:r>
            <w:r w:rsidRPr="008C1C20">
              <w:rPr>
                <w:rFonts w:ascii="Arial" w:hAnsi="Arial" w:cs="Arial"/>
                <w:sz w:val="20"/>
                <w:szCs w:val="24"/>
              </w:rPr>
              <w:t>replenishment of standby funds and additional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 xml:space="preserve">raw materials </w:t>
            </w:r>
            <w:r>
              <w:rPr>
                <w:rFonts w:ascii="Arial" w:hAnsi="Arial" w:cs="Arial"/>
                <w:sz w:val="20"/>
                <w:szCs w:val="24"/>
              </w:rPr>
              <w:t>equivalent to 5,000 FFPs.</w:t>
            </w:r>
          </w:p>
          <w:p w14:paraId="3EE20D76" w14:textId="0BBAD49A" w:rsidR="00D57D30" w:rsidRPr="00C354B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2,500 FFPs and 135 hygiene kits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to DSWD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warehouse in the Province </w:t>
            </w:r>
            <w:r>
              <w:rPr>
                <w:rFonts w:ascii="Arial" w:hAnsi="Arial" w:cs="Arial"/>
                <w:sz w:val="20"/>
                <w:szCs w:val="24"/>
              </w:rPr>
              <w:t>of Abra.</w:t>
            </w:r>
          </w:p>
          <w:p w14:paraId="126108B3" w14:textId="60866269" w:rsidR="00D57D30" w:rsidRPr="00AE303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</w:tc>
      </w:tr>
      <w:tr w:rsidR="00D57D30" w:rsidRPr="006B4BAB" w14:paraId="5485B4AC" w14:textId="77777777" w:rsidTr="009203F3">
        <w:trPr>
          <w:tblHeader/>
        </w:trPr>
        <w:tc>
          <w:tcPr>
            <w:tcW w:w="2025" w:type="dxa"/>
          </w:tcPr>
          <w:p w14:paraId="3B3F6272" w14:textId="770A8EFF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September 2021</w:t>
            </w:r>
          </w:p>
        </w:tc>
        <w:tc>
          <w:tcPr>
            <w:tcW w:w="6907" w:type="dxa"/>
          </w:tcPr>
          <w:p w14:paraId="09B08908" w14:textId="3DA85673" w:rsidR="00D57D30" w:rsidRPr="004A5CD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800 FFPs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to DSWD warehouse in </w:t>
            </w:r>
            <w:r>
              <w:rPr>
                <w:rFonts w:ascii="Arial" w:hAnsi="Arial" w:cs="Arial"/>
                <w:sz w:val="20"/>
                <w:szCs w:val="24"/>
              </w:rPr>
              <w:t>Mountain Province.</w:t>
            </w:r>
          </w:p>
        </w:tc>
      </w:tr>
    </w:tbl>
    <w:p w14:paraId="6BA39202" w14:textId="077464E9" w:rsidR="00556E85" w:rsidRDefault="00556E85" w:rsidP="00E27A0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CCEFAD" w14:textId="179679E5" w:rsidR="00B45E92" w:rsidRDefault="00CB7198" w:rsidP="00B45E9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B45E92" w:rsidRPr="006B4BAB" w14:paraId="457C4B4C" w14:textId="77777777" w:rsidTr="00C56015">
        <w:trPr>
          <w:tblHeader/>
        </w:trPr>
        <w:tc>
          <w:tcPr>
            <w:tcW w:w="2025" w:type="dxa"/>
          </w:tcPr>
          <w:p w14:paraId="5313C080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CCC3B2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57D30" w:rsidRPr="006B4BAB" w14:paraId="60312B91" w14:textId="77777777" w:rsidTr="00C56015">
        <w:trPr>
          <w:tblHeader/>
        </w:trPr>
        <w:tc>
          <w:tcPr>
            <w:tcW w:w="2025" w:type="dxa"/>
          </w:tcPr>
          <w:p w14:paraId="49E0216D" w14:textId="74622CFB" w:rsidR="00D57D30" w:rsidRPr="006B4BAB" w:rsidRDefault="00D57D30" w:rsidP="00D57D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66F2026" w14:textId="00BB1EC4" w:rsidR="00D57D30" w:rsidRPr="006B4BAB" w:rsidRDefault="00D57D30" w:rsidP="00D57D30">
            <w:pPr>
              <w:pStyle w:val="NoSpacing"/>
              <w:numPr>
                <w:ilvl w:val="0"/>
                <w:numId w:val="9"/>
              </w:numPr>
              <w:ind w:left="321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 continuously disinfection and repacking at the Regional warehouse in La Union.</w:t>
            </w:r>
          </w:p>
        </w:tc>
      </w:tr>
      <w:tr w:rsidR="00D57D30" w:rsidRPr="006B4BAB" w14:paraId="568AB5D9" w14:textId="77777777" w:rsidTr="00C56015">
        <w:trPr>
          <w:tblHeader/>
        </w:trPr>
        <w:tc>
          <w:tcPr>
            <w:tcW w:w="2025" w:type="dxa"/>
          </w:tcPr>
          <w:p w14:paraId="4C616EF6" w14:textId="7777777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50EAB0BA" w14:textId="57E68EDC" w:rsidR="00D57D30" w:rsidRPr="00D2695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and disinfestation of rice at the DSWD Regional Warehouse, Biday, City of San Fernando, La Union were conducted.</w:t>
            </w:r>
          </w:p>
        </w:tc>
      </w:tr>
    </w:tbl>
    <w:p w14:paraId="3900B12D" w14:textId="22832629" w:rsidR="00610BC8" w:rsidRDefault="00610BC8" w:rsidP="00610B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7C6D2B64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556E85" w:rsidRPr="006B4BAB" w14:paraId="059ED384" w14:textId="77777777" w:rsidTr="00333AB0">
        <w:tc>
          <w:tcPr>
            <w:tcW w:w="2025" w:type="dxa"/>
          </w:tcPr>
          <w:p w14:paraId="2FFFE10A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B75E5" w:rsidRPr="006B4BAB" w14:paraId="2B4A45DC" w14:textId="77777777" w:rsidTr="00333AB0">
        <w:tc>
          <w:tcPr>
            <w:tcW w:w="2025" w:type="dxa"/>
          </w:tcPr>
          <w:p w14:paraId="4AB614ED" w14:textId="4974A72E" w:rsidR="006B75E5" w:rsidRDefault="006B75E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 September 2021</w:t>
            </w:r>
          </w:p>
        </w:tc>
        <w:tc>
          <w:tcPr>
            <w:tcW w:w="6907" w:type="dxa"/>
          </w:tcPr>
          <w:p w14:paraId="5252725D" w14:textId="77777777" w:rsidR="006B75E5" w:rsidRDefault="006B75E5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 with DRMB on the number of FPPs to be transported from Sangley Point to the province </w:t>
            </w:r>
            <w:r w:rsidR="00E97AF3">
              <w:rPr>
                <w:rFonts w:ascii="Arial" w:hAnsi="Arial" w:cs="Arial"/>
                <w:sz w:val="20"/>
                <w:szCs w:val="24"/>
              </w:rPr>
              <w:t>of Batanes thru Philippine Navy Vessel.</w:t>
            </w:r>
          </w:p>
          <w:p w14:paraId="464DA1F0" w14:textId="5B34E060" w:rsidR="00E97AF3" w:rsidRPr="00E97AF3" w:rsidRDefault="00E97AF3" w:rsidP="00E97AF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coordinate with NRLMB on the unloaded 5,000 FPPs at Craval Naval Base, Sanley Point, Cavite City.</w:t>
            </w:r>
          </w:p>
        </w:tc>
      </w:tr>
      <w:tr w:rsidR="00E43D5E" w:rsidRPr="006B4BAB" w14:paraId="71468FDE" w14:textId="77777777" w:rsidTr="00333AB0">
        <w:tc>
          <w:tcPr>
            <w:tcW w:w="2025" w:type="dxa"/>
          </w:tcPr>
          <w:p w14:paraId="461A6241" w14:textId="31D6A8DC" w:rsidR="00E43D5E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7D383B44" w14:textId="715B1993" w:rsidR="00E43D5E" w:rsidRDefault="00E43D5E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in continuous coordination with the OCD on the request for airlift of 600FFPs as augmentation support to LGU Calayan.</w:t>
            </w:r>
          </w:p>
        </w:tc>
      </w:tr>
      <w:tr w:rsidR="00811D14" w:rsidRPr="006B4BAB" w14:paraId="70A23DDF" w14:textId="77777777" w:rsidTr="00333AB0">
        <w:tc>
          <w:tcPr>
            <w:tcW w:w="2025" w:type="dxa"/>
          </w:tcPr>
          <w:p w14:paraId="7DBB91BB" w14:textId="7E35AFAA" w:rsidR="00811D14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04F2BA2D" w14:textId="77777777" w:rsidR="00811D14" w:rsidRDefault="00811D14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>repacking of FFPs to meet the required level of stockpile of the Region.</w:t>
            </w:r>
          </w:p>
          <w:p w14:paraId="679BA3F9" w14:textId="77777777" w:rsidR="00951DC1" w:rsidRDefault="00951DC1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LGU Baggao, Cagayan hauled 766 FFPs as augmentation support to the affected families.</w:t>
            </w:r>
          </w:p>
          <w:p w14:paraId="1FD2AF77" w14:textId="07C7E7E0" w:rsidR="00D91518" w:rsidRPr="00D26959" w:rsidRDefault="00D91518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Philippine Air Force (PAF) confirmed the availability of their aircraft to ferry FFPs for Batanes Province. The aircraft can transport a maximum of 4,500 FFPs.</w:t>
            </w:r>
          </w:p>
        </w:tc>
      </w:tr>
      <w:tr w:rsidR="00556E85" w:rsidRPr="006B4BAB" w14:paraId="2915CF7E" w14:textId="77777777" w:rsidTr="00333AB0">
        <w:tc>
          <w:tcPr>
            <w:tcW w:w="2025" w:type="dxa"/>
          </w:tcPr>
          <w:p w14:paraId="39252786" w14:textId="736D4960" w:rsidR="00556E85" w:rsidRPr="006B4BAB" w:rsidRDefault="00556E8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12 September 2021</w:t>
            </w:r>
          </w:p>
        </w:tc>
        <w:tc>
          <w:tcPr>
            <w:tcW w:w="6907" w:type="dxa"/>
          </w:tcPr>
          <w:p w14:paraId="19F3627B" w14:textId="7A18D9C9" w:rsidR="004551A9" w:rsidRPr="004551A9" w:rsidRDefault="000978A1" w:rsidP="00D91518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coordinated with NRLMB on the request of 5,000 FPPs to be airlifted to the Province of Batanes in coordination with </w:t>
            </w:r>
            <w:r w:rsidR="00732BA3">
              <w:rPr>
                <w:rFonts w:ascii="Arial" w:hAnsi="Arial" w:cs="Arial"/>
                <w:sz w:val="20"/>
                <w:szCs w:val="24"/>
              </w:rPr>
              <w:t>Office of Civil Defense (</w:t>
            </w:r>
            <w:r>
              <w:rPr>
                <w:rFonts w:ascii="Arial" w:hAnsi="Arial" w:cs="Arial"/>
                <w:sz w:val="20"/>
                <w:szCs w:val="24"/>
              </w:rPr>
              <w:t>OCD</w:t>
            </w:r>
            <w:r w:rsidR="00732BA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BA3">
              <w:rPr>
                <w:rFonts w:ascii="Arial" w:hAnsi="Arial" w:cs="Arial"/>
                <w:sz w:val="20"/>
                <w:szCs w:val="24"/>
              </w:rPr>
              <w:t>Regional Office (</w:t>
            </w:r>
            <w:r>
              <w:rPr>
                <w:rFonts w:ascii="Arial" w:hAnsi="Arial" w:cs="Arial"/>
                <w:sz w:val="20"/>
                <w:szCs w:val="24"/>
              </w:rPr>
              <w:t>RO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z w:val="20"/>
                <w:szCs w:val="24"/>
              </w:rPr>
              <w:t xml:space="preserve">2 and </w:t>
            </w:r>
            <w:r w:rsidR="00732BA3">
              <w:rPr>
                <w:rFonts w:ascii="Arial" w:hAnsi="Arial" w:cs="Arial"/>
                <w:sz w:val="20"/>
                <w:szCs w:val="24"/>
              </w:rPr>
              <w:t>PAF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7FCEA371" w14:textId="0191092D" w:rsidR="00DC4A1C" w:rsidRPr="006D3975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06E2DC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8F7058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2795955A" w:rsidR="006D3975" w:rsidRPr="009203F3" w:rsidRDefault="006D3975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D3975" w:rsidRPr="006B4BAB" w14:paraId="4A9934CC" w14:textId="77777777" w:rsidTr="009203F3">
        <w:trPr>
          <w:tblHeader/>
        </w:trPr>
        <w:tc>
          <w:tcPr>
            <w:tcW w:w="202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9203F3">
        <w:trPr>
          <w:tblHeader/>
        </w:trPr>
        <w:tc>
          <w:tcPr>
            <w:tcW w:w="2025" w:type="dxa"/>
          </w:tcPr>
          <w:p w14:paraId="728B5E2F" w14:textId="60A672B6" w:rsidR="006D3975" w:rsidRPr="006B4BAB" w:rsidRDefault="003645A8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47AD3194" w:rsidR="008C1C20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279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868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individuals were pre-emptively and forcedly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evacuated</w:t>
            </w:r>
            <w:r w:rsidR="00B435AA">
              <w:rPr>
                <w:rFonts w:ascii="Arial" w:hAnsi="Arial" w:cs="Arial"/>
                <w:sz w:val="20"/>
                <w:szCs w:val="24"/>
              </w:rPr>
              <w:t>,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212884">
              <w:rPr>
                <w:rFonts w:ascii="Arial" w:hAnsi="Arial" w:cs="Arial"/>
                <w:sz w:val="20"/>
                <w:szCs w:val="24"/>
              </w:rPr>
              <w:t xml:space="preserve">brought to the </w:t>
            </w:r>
            <w:r>
              <w:rPr>
                <w:rFonts w:ascii="Arial" w:hAnsi="Arial" w:cs="Arial"/>
                <w:sz w:val="20"/>
                <w:szCs w:val="24"/>
              </w:rPr>
              <w:t xml:space="preserve">29 </w:t>
            </w:r>
            <w:r w:rsidRPr="003C3DDD">
              <w:rPr>
                <w:rFonts w:ascii="Arial" w:hAnsi="Arial" w:cs="Arial"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centers.</w:t>
            </w:r>
          </w:p>
          <w:p w14:paraId="6DAABA09" w14:textId="1DE40EDF" w:rsidR="003C3DDD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97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individuals pre-emptive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evacuated and stayed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with their rela</w:t>
            </w:r>
            <w:r>
              <w:rPr>
                <w:rFonts w:ascii="Arial" w:hAnsi="Arial" w:cs="Arial"/>
                <w:sz w:val="20"/>
                <w:szCs w:val="24"/>
              </w:rPr>
              <w:t>tives and/or friends.</w:t>
            </w:r>
          </w:p>
          <w:p w14:paraId="0B95EC20" w14:textId="00C7DA45" w:rsidR="006D3975" w:rsidRPr="008C1C20" w:rsidRDefault="00510D7B" w:rsidP="00510D7B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stranded in Claveria </w:t>
            </w:r>
            <w:r w:rsidRPr="008C1C20">
              <w:rPr>
                <w:rFonts w:ascii="Arial" w:hAnsi="Arial" w:cs="Arial"/>
                <w:sz w:val="20"/>
                <w:szCs w:val="24"/>
              </w:rPr>
              <w:t>Seaport</w:t>
            </w:r>
            <w:r>
              <w:rPr>
                <w:rFonts w:ascii="Arial" w:hAnsi="Arial" w:cs="Arial"/>
                <w:sz w:val="20"/>
                <w:szCs w:val="24"/>
              </w:rPr>
              <w:t xml:space="preserve">; of which,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individuals from Fuga Island </w:t>
            </w:r>
            <w:r>
              <w:rPr>
                <w:rFonts w:ascii="Arial" w:hAnsi="Arial" w:cs="Arial"/>
                <w:sz w:val="20"/>
                <w:szCs w:val="24"/>
              </w:rPr>
              <w:t xml:space="preserve">took shelter at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the fish port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while the </w:t>
            </w: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stayed with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their relatives at </w:t>
            </w:r>
            <w:r>
              <w:rPr>
                <w:rFonts w:ascii="Arial" w:hAnsi="Arial" w:cs="Arial"/>
                <w:sz w:val="20"/>
                <w:szCs w:val="24"/>
              </w:rPr>
              <w:t xml:space="preserve">Brgy.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Centro 5, Claveria</w:t>
            </w:r>
            <w:r>
              <w:rPr>
                <w:rFonts w:ascii="Arial" w:hAnsi="Arial" w:cs="Arial"/>
                <w:sz w:val="20"/>
                <w:szCs w:val="24"/>
              </w:rPr>
              <w:t>, Cagayan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AE303D" w:rsidRPr="006B4BAB" w14:paraId="05F0EB3F" w14:textId="77777777" w:rsidTr="009203F3">
        <w:trPr>
          <w:tblHeader/>
        </w:trPr>
        <w:tc>
          <w:tcPr>
            <w:tcW w:w="2025" w:type="dxa"/>
          </w:tcPr>
          <w:p w14:paraId="3FB93DF0" w14:textId="3E59913E" w:rsidR="00AE303D" w:rsidRDefault="00AE303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4089EA5E" w14:textId="317B04CD" w:rsidR="00AE303D" w:rsidRPr="00AE303D" w:rsidRDefault="00AE303D" w:rsidP="00AE303D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provided 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to LGUs on </w:t>
            </w:r>
            <w:r>
              <w:rPr>
                <w:rFonts w:ascii="Arial" w:hAnsi="Arial" w:cs="Arial"/>
                <w:sz w:val="20"/>
                <w:szCs w:val="24"/>
              </w:rPr>
              <w:t>Camp Coordination and Camp Management (CCCM).</w:t>
            </w:r>
          </w:p>
        </w:tc>
      </w:tr>
    </w:tbl>
    <w:p w14:paraId="49A25C68" w14:textId="77777777" w:rsidR="00777D84" w:rsidRDefault="00777D84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C0DDCF" w14:textId="1179ED7A" w:rsidR="009203F3" w:rsidRDefault="005454C8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180DC254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4CB90" w14:textId="0B6AB77C" w:rsidR="008C1C20" w:rsidRPr="009203F3" w:rsidRDefault="00663A54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</w:t>
      </w:r>
      <w:r w:rsidR="00E0525B" w:rsidRPr="009203F3">
        <w:rPr>
          <w:rFonts w:ascii="Arial" w:hAnsi="Arial" w:cs="Arial"/>
          <w:b/>
          <w:sz w:val="24"/>
          <w:szCs w:val="24"/>
        </w:rPr>
        <w:t xml:space="preserve"> </w:t>
      </w:r>
      <w:r w:rsidR="008C1C20" w:rsidRPr="009203F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210E38F4" w14:textId="77777777" w:rsidTr="009203F3">
        <w:trPr>
          <w:tblHeader/>
        </w:trPr>
        <w:tc>
          <w:tcPr>
            <w:tcW w:w="202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33AB0" w:rsidRPr="006B4BAB" w14:paraId="6CFE120E" w14:textId="77777777" w:rsidTr="009203F3">
        <w:trPr>
          <w:tblHeader/>
        </w:trPr>
        <w:tc>
          <w:tcPr>
            <w:tcW w:w="2025" w:type="dxa"/>
          </w:tcPr>
          <w:p w14:paraId="06E5E105" w14:textId="0A8A4E94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 September 2021</w:t>
            </w:r>
          </w:p>
        </w:tc>
        <w:tc>
          <w:tcPr>
            <w:tcW w:w="6907" w:type="dxa"/>
          </w:tcPr>
          <w:p w14:paraId="3BF62534" w14:textId="41489CA8" w:rsidR="00333AB0" w:rsidRPr="006B4BA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333AB0" w:rsidRPr="006B4BAB" w14:paraId="5ABB36DB" w14:textId="77777777" w:rsidTr="009203F3">
        <w:tc>
          <w:tcPr>
            <w:tcW w:w="2025" w:type="dxa"/>
          </w:tcPr>
          <w:p w14:paraId="590C0185" w14:textId="04C1D877" w:rsidR="00333AB0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CA32B26" w14:textId="34113E8D" w:rsidR="00333AB0" w:rsidRPr="00B605D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is closely monitoring the effects of Typhoon “Kiko” in coordination 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 w:rsidRPr="00B605DB">
              <w:rPr>
                <w:rFonts w:ascii="Arial" w:hAnsi="Arial" w:cs="Arial"/>
                <w:sz w:val="20"/>
                <w:szCs w:val="24"/>
              </w:rPr>
              <w:t>Disaster Risk Reduction and Management Councils (</w:t>
            </w:r>
            <w:r>
              <w:rPr>
                <w:rFonts w:ascii="Arial" w:hAnsi="Arial" w:cs="Arial"/>
                <w:sz w:val="20"/>
                <w:szCs w:val="24"/>
              </w:rPr>
              <w:t xml:space="preserve">DRRMCs), Local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Social Welfare and Development Offices (SWDOs), and Social Welfare and Development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(SWADT) </w:t>
            </w:r>
            <w:r w:rsidRPr="00B605DB">
              <w:rPr>
                <w:rFonts w:ascii="Arial" w:hAnsi="Arial" w:cs="Arial"/>
                <w:sz w:val="20"/>
                <w:szCs w:val="24"/>
              </w:rPr>
              <w:t>Leaders for any significant updates.</w:t>
            </w:r>
          </w:p>
        </w:tc>
      </w:tr>
      <w:tr w:rsidR="00333AB0" w:rsidRPr="006B4BAB" w14:paraId="10B10F82" w14:textId="77777777" w:rsidTr="009203F3">
        <w:tc>
          <w:tcPr>
            <w:tcW w:w="2025" w:type="dxa"/>
          </w:tcPr>
          <w:p w14:paraId="39ABB764" w14:textId="77777777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3B345C80" w14:textId="77777777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45E92">
              <w:rPr>
                <w:rFonts w:ascii="Arial" w:hAnsi="Arial" w:cs="Arial"/>
                <w:sz w:val="20"/>
                <w:szCs w:val="24"/>
              </w:rPr>
              <w:t>DSWD FO-I closely monitored the effects of the Typhoon “Kiko” through the Department of Science and Technology-Philippine Atmospheric, Geophysical, and Astronomical Services Administration (DOST-PAGASA) and in close coordination with the Regional DRRMC 1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FA5FC3" w14:textId="59A9D5E9" w:rsidR="00333AB0" w:rsidRPr="00B45E92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Provincial Operations Offices (POOs)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I closely coordinated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with the different </w:t>
            </w:r>
            <w:r>
              <w:rPr>
                <w:rFonts w:ascii="Arial" w:hAnsi="Arial" w:cs="Arial"/>
                <w:sz w:val="20"/>
                <w:szCs w:val="24"/>
              </w:rPr>
              <w:t>Local DRRMCs and Local SWDOs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to monitor the adverse effects that might be brought by the weather disturbance.</w:t>
            </w:r>
          </w:p>
          <w:p w14:paraId="493D4995" w14:textId="01788D2E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attended the </w:t>
            </w:r>
            <w:r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>
              <w:rPr>
                <w:rFonts w:ascii="Arial" w:hAnsi="Arial" w:cs="Arial"/>
                <w:sz w:val="20"/>
                <w:szCs w:val="24"/>
              </w:rPr>
              <w:t>/Core Group Meeting through video teleconference.</w:t>
            </w:r>
          </w:p>
          <w:p w14:paraId="4DBAC1FE" w14:textId="243E2D93" w:rsidR="00333AB0" w:rsidRPr="008C1C2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605D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he 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Incident Management Team (IMT) </w:t>
            </w:r>
            <w:r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activated and on duty while other DSWD staff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on standby for possible augmentation. Likewise, </w:t>
            </w:r>
            <w:r>
              <w:rPr>
                <w:rFonts w:ascii="Arial" w:hAnsi="Arial" w:cs="Arial"/>
                <w:sz w:val="20"/>
                <w:szCs w:val="24"/>
              </w:rPr>
              <w:t>FO ensured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 the availability and readiness of resources.</w:t>
            </w:r>
          </w:p>
        </w:tc>
      </w:tr>
    </w:tbl>
    <w:p w14:paraId="314D243E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63ABFC" w14:textId="77777777" w:rsidR="00D64FFC" w:rsidRDefault="00D64FFC" w:rsidP="00333A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1EB8DF85" w:rsidR="008C1C20" w:rsidRPr="00FE7C33" w:rsidRDefault="008C1C20" w:rsidP="00333A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63A54" w:rsidRPr="006B4BAB" w14:paraId="4286255F" w14:textId="77777777" w:rsidTr="00333AB0">
        <w:tc>
          <w:tcPr>
            <w:tcW w:w="202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77C2D" w:rsidRPr="006B4BAB" w14:paraId="73CA5793" w14:textId="77777777" w:rsidTr="00333AB0">
        <w:tc>
          <w:tcPr>
            <w:tcW w:w="2025" w:type="dxa"/>
          </w:tcPr>
          <w:p w14:paraId="4EC46DDB" w14:textId="72DD412B" w:rsidR="00677C2D" w:rsidRDefault="00677C2D" w:rsidP="006A6C3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  <w:r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60B751CF" w14:textId="0A905309" w:rsidR="00677C2D" w:rsidRDefault="00677C2D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presented the result of Rapid Damaged Assessment and Need Analysis (RDANA) report to the social sector.</w:t>
            </w:r>
            <w:bookmarkStart w:id="2" w:name="_GoBack"/>
            <w:bookmarkEnd w:id="2"/>
          </w:p>
        </w:tc>
      </w:tr>
      <w:tr w:rsidR="00113D64" w:rsidRPr="006B4BAB" w14:paraId="7D626694" w14:textId="77777777" w:rsidTr="00333AB0">
        <w:tc>
          <w:tcPr>
            <w:tcW w:w="2025" w:type="dxa"/>
          </w:tcPr>
          <w:p w14:paraId="5FAE8AE7" w14:textId="326F2262" w:rsidR="00113D64" w:rsidRDefault="00113D64" w:rsidP="006A6C3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20 September 2021</w:t>
            </w:r>
          </w:p>
        </w:tc>
        <w:tc>
          <w:tcPr>
            <w:tcW w:w="6907" w:type="dxa"/>
          </w:tcPr>
          <w:p w14:paraId="4613B70E" w14:textId="76FF30E7" w:rsidR="00113D64" w:rsidRDefault="00113D64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coordinate with NRLMB that the tentative schedule of vessel bound to Basco, Batanes will be on September, 21, 2021 with estimated arrival on September 24, 2021.</w:t>
            </w:r>
          </w:p>
        </w:tc>
      </w:tr>
      <w:tr w:rsidR="006A6C30" w:rsidRPr="006B4BAB" w14:paraId="78CEFEB2" w14:textId="77777777" w:rsidTr="00333AB0">
        <w:tc>
          <w:tcPr>
            <w:tcW w:w="2025" w:type="dxa"/>
          </w:tcPr>
          <w:p w14:paraId="4202F751" w14:textId="2017775B" w:rsidR="006A6C30" w:rsidRPr="006B4BAB" w:rsidRDefault="009233DF" w:rsidP="006A6C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6A6C3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0A4B94AF" w14:textId="77777777" w:rsidR="006A6C30" w:rsidRDefault="006A6C30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9233DF">
              <w:rPr>
                <w:rFonts w:ascii="Arial" w:hAnsi="Arial" w:cs="Arial"/>
                <w:sz w:val="20"/>
                <w:szCs w:val="24"/>
              </w:rPr>
              <w:t>thru its SWAD team in Batanes are ongoing validation of affected families as basis in providing Financial assistance thru AICS.</w:t>
            </w:r>
          </w:p>
          <w:p w14:paraId="4422D078" w14:textId="77777777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 DRMD-DRR chief Mr Rommel Gamiao attended the RDNA virtual meeting organized by the OCD Region II.</w:t>
            </w:r>
          </w:p>
          <w:p w14:paraId="06D6C84E" w14:textId="0BFAA307" w:rsidR="009233DF" w:rsidRPr="006A6C30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thru the DRMD coordinated AFP anf Philippine Navy the airlifting/shipping of 500 FFPs bound to Batanes.</w:t>
            </w:r>
          </w:p>
        </w:tc>
      </w:tr>
      <w:tr w:rsidR="009233DF" w:rsidRPr="006B4BAB" w14:paraId="537717D2" w14:textId="77777777" w:rsidTr="00333AB0">
        <w:tc>
          <w:tcPr>
            <w:tcW w:w="2025" w:type="dxa"/>
          </w:tcPr>
          <w:p w14:paraId="10E0D2A0" w14:textId="07A51C7F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1BFCFCB3" w14:textId="6442E8F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request for standby funds replenishment submitted to DRMG thru DRMB.</w:t>
            </w:r>
          </w:p>
        </w:tc>
      </w:tr>
      <w:tr w:rsidR="009233DF" w:rsidRPr="006B4BAB" w14:paraId="6213630E" w14:textId="77777777" w:rsidTr="00333AB0">
        <w:tc>
          <w:tcPr>
            <w:tcW w:w="2025" w:type="dxa"/>
          </w:tcPr>
          <w:p w14:paraId="5A42AE48" w14:textId="066C15A0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C7F583D" w14:textId="20404384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Rapid Damage Assessment and Needs Analysis (RDANA) Team had a meeting to finalize activities to be conducted with regard to the aerial assessment in Calayan, Cagayan and Batanes Province to identify the magnitude of disaster brought by Typhoon “Kiko”.</w:t>
            </w:r>
          </w:p>
          <w:p w14:paraId="3FC5E0B6" w14:textId="5354F093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continuously coordinated with the Batanes Province on status of affected families and number of damaged houses.</w:t>
            </w:r>
          </w:p>
          <w:p w14:paraId="6636D5BA" w14:textId="7C1EFDBB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conducted validation and assessment for the provision of immediate financial assistance through Assistance to Individuals in Crisis Situation (AICS) to families affected by Typhoon “Kiko”.</w:t>
            </w:r>
          </w:p>
          <w:p w14:paraId="238ADD2F" w14:textId="57D0A6BE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through its </w:t>
            </w:r>
            <w:r w:rsidRPr="00374462">
              <w:rPr>
                <w:rFonts w:ascii="Arial" w:hAnsi="Arial" w:cs="Arial"/>
                <w:sz w:val="20"/>
                <w:szCs w:val="24"/>
              </w:rPr>
              <w:t xml:space="preserve">Disaster Response Management Division </w:t>
            </w:r>
            <w:r>
              <w:rPr>
                <w:rFonts w:ascii="Arial" w:hAnsi="Arial" w:cs="Arial"/>
                <w:sz w:val="20"/>
                <w:szCs w:val="24"/>
              </w:rPr>
              <w:t>(DRMD) closely coordinated with the Regional DRRMC and other concerned agencies for any concerns that need to be addressed.</w:t>
            </w:r>
          </w:p>
          <w:p w14:paraId="4B24E935" w14:textId="2E0554F5" w:rsidR="009233DF" w:rsidRPr="008633FB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SWADTs, POOs, Provincial/City/Municipal Action Teams (P/C/MATs) of DSWD-FO II coordinated with their respective Local DRRMCs for updates relative to the adverse effects brought by Typhoon “Kiko”.</w:t>
            </w:r>
          </w:p>
        </w:tc>
      </w:tr>
      <w:tr w:rsidR="009233DF" w:rsidRPr="006B4BAB" w14:paraId="0AAE0BD2" w14:textId="77777777" w:rsidTr="00333AB0">
        <w:tc>
          <w:tcPr>
            <w:tcW w:w="2025" w:type="dxa"/>
          </w:tcPr>
          <w:p w14:paraId="62DB0FA3" w14:textId="16112754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2B1E6F73" w14:textId="7A34BFC2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together with the LGU of Calayan, Cagayan provided immediate needs to the affected families in the evacuation centers.</w:t>
            </w:r>
          </w:p>
          <w:p w14:paraId="08F3C3E0" w14:textId="5CC459D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provided instructions to SWADTs and MATs to work with the LGUs/Local SWDOs for immediate conduct of assessment for the provision of financial assistance through AICS to the affected families. </w:t>
            </w:r>
          </w:p>
        </w:tc>
      </w:tr>
      <w:tr w:rsidR="009233DF" w:rsidRPr="006B4BAB" w14:paraId="592DFD47" w14:textId="77777777" w:rsidTr="00333AB0">
        <w:tc>
          <w:tcPr>
            <w:tcW w:w="2025" w:type="dxa"/>
          </w:tcPr>
          <w:p w14:paraId="2F547A64" w14:textId="44415BBD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1FB0B575" w14:textId="597A5B42" w:rsidR="009233DF" w:rsidRPr="00C2210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Pr="00374462">
              <w:rPr>
                <w:rFonts w:ascii="Arial" w:hAnsi="Arial" w:cs="Arial"/>
                <w:sz w:val="20"/>
                <w:szCs w:val="24"/>
              </w:rPr>
              <w:t>and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II started rendering 24-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of Typhoon “Kiko”.</w:t>
            </w:r>
          </w:p>
        </w:tc>
      </w:tr>
    </w:tbl>
    <w:p w14:paraId="74002EEC" w14:textId="77777777" w:rsidR="00777D84" w:rsidRDefault="00777D84" w:rsidP="00E03B9F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4A21211D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480CF2B5" w14:textId="77777777" w:rsidTr="00C965F4">
        <w:trPr>
          <w:tblHeader/>
        </w:trPr>
        <w:tc>
          <w:tcPr>
            <w:tcW w:w="202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73041" w:rsidRPr="006B4BAB" w14:paraId="7ED72032" w14:textId="77777777" w:rsidTr="00C965F4">
        <w:trPr>
          <w:tblHeader/>
        </w:trPr>
        <w:tc>
          <w:tcPr>
            <w:tcW w:w="2025" w:type="dxa"/>
          </w:tcPr>
          <w:p w14:paraId="1A205A48" w14:textId="59B2628F" w:rsidR="00E73041" w:rsidRPr="006B4BAB" w:rsidRDefault="00E73041" w:rsidP="00E7304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 September 2021</w:t>
            </w:r>
          </w:p>
        </w:tc>
        <w:tc>
          <w:tcPr>
            <w:tcW w:w="6907" w:type="dxa"/>
          </w:tcPr>
          <w:p w14:paraId="663448BB" w14:textId="43F4C6CD" w:rsidR="00E73041" w:rsidRPr="006B4BAB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E73041" w:rsidRPr="006B4BAB" w14:paraId="2C01135B" w14:textId="77777777" w:rsidTr="00811D14">
        <w:tc>
          <w:tcPr>
            <w:tcW w:w="2025" w:type="dxa"/>
          </w:tcPr>
          <w:p w14:paraId="2665F1E4" w14:textId="6AF06F8B" w:rsidR="00E73041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2FFD85C1" w14:textId="2A9D3E7D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Quick Response Teams (QRTs) duty at DSWD-FO CAR and PATs of Abra, Apayao and Benguet are on standby and ready for augmentation.</w:t>
            </w:r>
          </w:p>
        </w:tc>
      </w:tr>
      <w:tr w:rsidR="00E73041" w:rsidRPr="006B4BAB" w14:paraId="1622DD17" w14:textId="77777777" w:rsidTr="00811D14">
        <w:tc>
          <w:tcPr>
            <w:tcW w:w="2025" w:type="dxa"/>
          </w:tcPr>
          <w:p w14:paraId="33C7F5BA" w14:textId="4AC3EBC4" w:rsidR="00E73041" w:rsidRPr="006B4BAB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5F2EAE05" w14:textId="44AA04A6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</w:t>
            </w:r>
            <w:r>
              <w:rPr>
                <w:rFonts w:ascii="Arial" w:hAnsi="Arial" w:cs="Arial"/>
                <w:sz w:val="20"/>
                <w:szCs w:val="24"/>
              </w:rPr>
              <w:t xml:space="preserve"> QRT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Orientation </w:t>
            </w:r>
            <w:r w:rsidRPr="008C1C20">
              <w:rPr>
                <w:rFonts w:ascii="Arial" w:hAnsi="Arial" w:cs="Arial"/>
                <w:sz w:val="20"/>
                <w:szCs w:val="24"/>
              </w:rPr>
              <w:t>via Zoom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74F3EA3" w14:textId="61E9E409" w:rsidR="00E73041" w:rsidRPr="009D0C34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ensured availability of transportation service.</w:t>
            </w:r>
          </w:p>
        </w:tc>
      </w:tr>
    </w:tbl>
    <w:p w14:paraId="0E874D78" w14:textId="057C6EB1" w:rsidR="00847D02" w:rsidRDefault="00847D02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1AF26B7" w14:textId="076CE69E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7D7EE59" w14:textId="31DFB9F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EED9596" w14:textId="2B90946E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49AFA07" w14:textId="2876D5FB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FBC630" w14:textId="62EF0EA1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811259C" w14:textId="14DC9376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D11DBC6" w14:textId="612926D3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2C35C13" w14:textId="1BAFFC3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96B0C51" w14:textId="2AC45D76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A425022" w14:textId="6D09012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48D17D4" w14:textId="6E5AEC8B" w:rsidR="00851917" w:rsidRPr="00851917" w:rsidRDefault="00851917" w:rsidP="00E730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51917"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18BB95E0" w14:textId="1F3B5540" w:rsidR="00851917" w:rsidRDefault="00851917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6291C98" w14:textId="3CA0153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1C63C1F0" wp14:editId="522C7329">
            <wp:simplePos x="0" y="0"/>
            <wp:positionH relativeFrom="margin">
              <wp:posOffset>1013204</wp:posOffset>
            </wp:positionH>
            <wp:positionV relativeFrom="paragraph">
              <wp:posOffset>6293</wp:posOffset>
            </wp:positionV>
            <wp:extent cx="4585970" cy="343916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B0">
        <w:rPr>
          <w:rFonts w:ascii="Arial" w:eastAsia="Arial" w:hAnsi="Arial" w:cs="Arial"/>
          <w:i/>
          <w:sz w:val="20"/>
          <w:szCs w:val="24"/>
        </w:rPr>
        <w:tab/>
      </w:r>
    </w:p>
    <w:p w14:paraId="50925B65" w14:textId="0D7C351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0537782" w14:textId="17FC1436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3EAF8CBE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E9C87D7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3D6AB8CB" w14:textId="6D664392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EEA2A1E" w14:textId="7DD0EE70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CE23EAF" w14:textId="556EA650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9AF2A08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368772A" w14:textId="2CE6A4FB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3D871E7" w14:textId="0C03064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52DE6A2" w14:textId="7A9D704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8584CAD" w14:textId="35F08B5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0520F17" w14:textId="3F80917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A6547EE" w14:textId="220171C0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B1CE227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7BEB5EE" w14:textId="3E8FC4AC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C093CFE" w14:textId="58B431AB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989A6C9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6571CE6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21DDDEF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2C1B7D8" w14:textId="2F79713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9EC99A5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A061635" w14:textId="52C0FC8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FFBE16D" w14:textId="50A58B1B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0E7FF10" wp14:editId="37A6AA71">
            <wp:simplePos x="0" y="0"/>
            <wp:positionH relativeFrom="column">
              <wp:posOffset>1012825</wp:posOffset>
            </wp:positionH>
            <wp:positionV relativeFrom="paragraph">
              <wp:posOffset>8890</wp:posOffset>
            </wp:positionV>
            <wp:extent cx="4578350" cy="3432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BEF8" w14:textId="67B87474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CADFA1E" w14:textId="131549BF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2520825" w14:textId="045A8D31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64572A1" w14:textId="0A980DD2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5435F18" w14:textId="33B42DE4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C111A2C" w14:textId="10998C7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26E5529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DEB012C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4F7B049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01B369E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14E66AA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A075EB5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B8B7E3" w14:textId="25ABA47F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4D25156" w14:textId="00A2D25E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16D0F35" w14:textId="4FED1A6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61BB973" w14:textId="00A646F3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5FC8769" w14:textId="43E3844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A56D240" w14:textId="3FCCA0C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841406C" w14:textId="6A513D4F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9A9E3E1" w14:textId="159802F6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3B65124" w14:textId="04538748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3798749" w14:textId="3847C2D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EB78835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CC06EBD" w14:textId="7C734F56" w:rsidR="00CC6640" w:rsidRPr="00CC6640" w:rsidRDefault="00CC6640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3CB31A14" w:rsidR="00D92599" w:rsidRPr="00CC6640" w:rsidRDefault="007F2E58" w:rsidP="00CC664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2B06B2B2" w14:textId="733952E2" w:rsidR="009609F5" w:rsidRPr="00FE7C33" w:rsidRDefault="009609F5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026E615" w14:textId="77777777" w:rsidR="00714CF3" w:rsidRDefault="00714CF3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8C6A" w14:textId="42F15A6D" w:rsidR="007155C3" w:rsidRPr="00FE7C33" w:rsidRDefault="00714CF3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CF3"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</w:tc>
        <w:tc>
          <w:tcPr>
            <w:tcW w:w="4869" w:type="dxa"/>
          </w:tcPr>
          <w:p w14:paraId="44F5913B" w14:textId="22BFCE8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4FD19E0" w:rsidR="007F2E58" w:rsidRPr="00FE7C33" w:rsidRDefault="00333AB0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63523C0D" w:rsidR="007F2E58" w:rsidRPr="00714CF3" w:rsidRDefault="00714CF3" w:rsidP="00714CF3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D1582">
        <w:rPr>
          <w:rFonts w:ascii="Arial" w:hAnsi="Arial" w:cs="Arial"/>
          <w:b/>
          <w:bCs/>
          <w:sz w:val="24"/>
          <w:szCs w:val="24"/>
        </w:rPr>
        <w:t>MARIEL B. FERRARIZ</w:t>
      </w:r>
    </w:p>
    <w:sectPr w:rsidR="007F2E58" w:rsidRPr="00714CF3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442B" w14:textId="77777777" w:rsidR="000600A9" w:rsidRDefault="000600A9" w:rsidP="00C12445">
      <w:pPr>
        <w:spacing w:after="0" w:line="240" w:lineRule="auto"/>
      </w:pPr>
      <w:r>
        <w:separator/>
      </w:r>
    </w:p>
  </w:endnote>
  <w:endnote w:type="continuationSeparator" w:id="0">
    <w:p w14:paraId="189F5228" w14:textId="77777777" w:rsidR="000600A9" w:rsidRDefault="000600A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783F3B" w:rsidRPr="00905CC2" w:rsidRDefault="00783F3B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5B5838F" w:rsidR="00783F3B" w:rsidRPr="00CB6F4E" w:rsidRDefault="00783F3B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#11 on Typhoon “KIKO” as of 22</w:t>
            </w:r>
            <w:r w:rsidRPr="002706F0">
              <w:rPr>
                <w:sz w:val="16"/>
                <w:szCs w:val="20"/>
              </w:rPr>
              <w:t xml:space="preserve"> September 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77C2D">
              <w:rPr>
                <w:b/>
                <w:bCs/>
                <w:noProof/>
                <w:sz w:val="16"/>
                <w:szCs w:val="20"/>
              </w:rPr>
              <w:t>8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77C2D">
              <w:rPr>
                <w:b/>
                <w:bCs/>
                <w:noProof/>
                <w:sz w:val="16"/>
                <w:szCs w:val="20"/>
              </w:rPr>
              <w:t>10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7B9F" w14:textId="77777777" w:rsidR="000600A9" w:rsidRDefault="000600A9" w:rsidP="00C12445">
      <w:pPr>
        <w:spacing w:after="0" w:line="240" w:lineRule="auto"/>
      </w:pPr>
      <w:r>
        <w:separator/>
      </w:r>
    </w:p>
  </w:footnote>
  <w:footnote w:type="continuationSeparator" w:id="0">
    <w:p w14:paraId="364DFBD9" w14:textId="77777777" w:rsidR="000600A9" w:rsidRDefault="000600A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783F3B" w:rsidRDefault="00783F3B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783F3B" w:rsidRDefault="00783F3B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783F3B" w:rsidRDefault="00783F3B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783F3B" w:rsidRDefault="00783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0DCD"/>
    <w:rsid w:val="000016A6"/>
    <w:rsid w:val="00003153"/>
    <w:rsid w:val="000035E8"/>
    <w:rsid w:val="00004AF3"/>
    <w:rsid w:val="00005ED9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0137"/>
    <w:rsid w:val="000311A7"/>
    <w:rsid w:val="00031C6C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00A9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55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13D64"/>
    <w:rsid w:val="00113E67"/>
    <w:rsid w:val="001220F8"/>
    <w:rsid w:val="001222C5"/>
    <w:rsid w:val="0012576B"/>
    <w:rsid w:val="0012580D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0FFD"/>
    <w:rsid w:val="001D1FD6"/>
    <w:rsid w:val="001D233B"/>
    <w:rsid w:val="001D38D9"/>
    <w:rsid w:val="001D5A8F"/>
    <w:rsid w:val="001D727A"/>
    <w:rsid w:val="001E0BE4"/>
    <w:rsid w:val="001E3D41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22E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702"/>
    <w:rsid w:val="002A0CF8"/>
    <w:rsid w:val="002A3050"/>
    <w:rsid w:val="002A7044"/>
    <w:rsid w:val="002B3899"/>
    <w:rsid w:val="002B5094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2E68"/>
    <w:rsid w:val="003339F5"/>
    <w:rsid w:val="00333AB0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0B0"/>
    <w:rsid w:val="0037440F"/>
    <w:rsid w:val="00374462"/>
    <w:rsid w:val="0037560F"/>
    <w:rsid w:val="00375DF9"/>
    <w:rsid w:val="00377754"/>
    <w:rsid w:val="003807B0"/>
    <w:rsid w:val="00381765"/>
    <w:rsid w:val="00381DC7"/>
    <w:rsid w:val="0038256C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1C6"/>
    <w:rsid w:val="003C6E37"/>
    <w:rsid w:val="003D0BA7"/>
    <w:rsid w:val="003D400D"/>
    <w:rsid w:val="003D5188"/>
    <w:rsid w:val="003D7C5F"/>
    <w:rsid w:val="003E3D36"/>
    <w:rsid w:val="003E4DFD"/>
    <w:rsid w:val="003E79B6"/>
    <w:rsid w:val="003E7D52"/>
    <w:rsid w:val="003F1BF2"/>
    <w:rsid w:val="003F35C0"/>
    <w:rsid w:val="003F3661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1C07"/>
    <w:rsid w:val="0043312F"/>
    <w:rsid w:val="00433A22"/>
    <w:rsid w:val="00440310"/>
    <w:rsid w:val="0044046F"/>
    <w:rsid w:val="00442CB9"/>
    <w:rsid w:val="00443495"/>
    <w:rsid w:val="00443A5C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B7BE8"/>
    <w:rsid w:val="004C1D11"/>
    <w:rsid w:val="004C254A"/>
    <w:rsid w:val="004C2ADD"/>
    <w:rsid w:val="004C333C"/>
    <w:rsid w:val="004C3FAC"/>
    <w:rsid w:val="004C563C"/>
    <w:rsid w:val="004C65EC"/>
    <w:rsid w:val="004C69F6"/>
    <w:rsid w:val="004C7388"/>
    <w:rsid w:val="004D2B15"/>
    <w:rsid w:val="004D31B9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1729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05A5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2787"/>
    <w:rsid w:val="005D52C4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3CC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6A33"/>
    <w:rsid w:val="006072DB"/>
    <w:rsid w:val="0060764A"/>
    <w:rsid w:val="00610BC8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67881"/>
    <w:rsid w:val="006738EE"/>
    <w:rsid w:val="00673A65"/>
    <w:rsid w:val="00675F8E"/>
    <w:rsid w:val="006768EA"/>
    <w:rsid w:val="00677C2D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6C30"/>
    <w:rsid w:val="006A7447"/>
    <w:rsid w:val="006B0C4C"/>
    <w:rsid w:val="006B1A04"/>
    <w:rsid w:val="006B2D97"/>
    <w:rsid w:val="006B31E4"/>
    <w:rsid w:val="006B33F9"/>
    <w:rsid w:val="006B36B6"/>
    <w:rsid w:val="006B4BAB"/>
    <w:rsid w:val="006B6066"/>
    <w:rsid w:val="006B75E5"/>
    <w:rsid w:val="006B7679"/>
    <w:rsid w:val="006C082C"/>
    <w:rsid w:val="006C2A5F"/>
    <w:rsid w:val="006C51FB"/>
    <w:rsid w:val="006C569A"/>
    <w:rsid w:val="006D0614"/>
    <w:rsid w:val="006D1582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05ED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4CF3"/>
    <w:rsid w:val="007155C3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2F4"/>
    <w:rsid w:val="00766A61"/>
    <w:rsid w:val="00767876"/>
    <w:rsid w:val="0077136B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3F3B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0E53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3EC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2331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30C"/>
    <w:rsid w:val="00844A6E"/>
    <w:rsid w:val="00845FBB"/>
    <w:rsid w:val="00847D02"/>
    <w:rsid w:val="00850427"/>
    <w:rsid w:val="00850FF0"/>
    <w:rsid w:val="00851385"/>
    <w:rsid w:val="00851917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3F4C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3DF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37B01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4CC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1671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0EE2"/>
    <w:rsid w:val="00AB1B7A"/>
    <w:rsid w:val="00AB1C48"/>
    <w:rsid w:val="00AB2BAA"/>
    <w:rsid w:val="00AB302C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6A09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479C8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6BD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B7DFC"/>
    <w:rsid w:val="00BC0610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262CC"/>
    <w:rsid w:val="00C30066"/>
    <w:rsid w:val="00C31191"/>
    <w:rsid w:val="00C32E51"/>
    <w:rsid w:val="00C33D4B"/>
    <w:rsid w:val="00C352B3"/>
    <w:rsid w:val="00C354BD"/>
    <w:rsid w:val="00C428D1"/>
    <w:rsid w:val="00C46D37"/>
    <w:rsid w:val="00C47CB5"/>
    <w:rsid w:val="00C47E3F"/>
    <w:rsid w:val="00C50647"/>
    <w:rsid w:val="00C50D85"/>
    <w:rsid w:val="00C527B0"/>
    <w:rsid w:val="00C56015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198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E668A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0AB0"/>
    <w:rsid w:val="00D12C4A"/>
    <w:rsid w:val="00D1340B"/>
    <w:rsid w:val="00D16926"/>
    <w:rsid w:val="00D17629"/>
    <w:rsid w:val="00D204B1"/>
    <w:rsid w:val="00D23635"/>
    <w:rsid w:val="00D23BDC"/>
    <w:rsid w:val="00D26959"/>
    <w:rsid w:val="00D31424"/>
    <w:rsid w:val="00D32610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54D35"/>
    <w:rsid w:val="00D57D30"/>
    <w:rsid w:val="00D62942"/>
    <w:rsid w:val="00D62E15"/>
    <w:rsid w:val="00D64D07"/>
    <w:rsid w:val="00D64FFC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796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4A1C"/>
    <w:rsid w:val="00DC7572"/>
    <w:rsid w:val="00DD0E72"/>
    <w:rsid w:val="00DD1F4B"/>
    <w:rsid w:val="00DD380A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581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5307"/>
    <w:rsid w:val="00E26653"/>
    <w:rsid w:val="00E26E07"/>
    <w:rsid w:val="00E27A0E"/>
    <w:rsid w:val="00E35F1E"/>
    <w:rsid w:val="00E360E2"/>
    <w:rsid w:val="00E42E8B"/>
    <w:rsid w:val="00E43023"/>
    <w:rsid w:val="00E438A6"/>
    <w:rsid w:val="00E43D5E"/>
    <w:rsid w:val="00E43DCD"/>
    <w:rsid w:val="00E44F82"/>
    <w:rsid w:val="00E4534D"/>
    <w:rsid w:val="00E45649"/>
    <w:rsid w:val="00E50061"/>
    <w:rsid w:val="00E507F9"/>
    <w:rsid w:val="00E525DD"/>
    <w:rsid w:val="00E53108"/>
    <w:rsid w:val="00E558B7"/>
    <w:rsid w:val="00E5712F"/>
    <w:rsid w:val="00E60120"/>
    <w:rsid w:val="00E60B47"/>
    <w:rsid w:val="00E60B6A"/>
    <w:rsid w:val="00E619FF"/>
    <w:rsid w:val="00E63607"/>
    <w:rsid w:val="00E64AE2"/>
    <w:rsid w:val="00E64D39"/>
    <w:rsid w:val="00E714C0"/>
    <w:rsid w:val="00E73041"/>
    <w:rsid w:val="00E74A5B"/>
    <w:rsid w:val="00E76FE5"/>
    <w:rsid w:val="00E77E16"/>
    <w:rsid w:val="00E803F9"/>
    <w:rsid w:val="00E80AFD"/>
    <w:rsid w:val="00E81AE9"/>
    <w:rsid w:val="00E8375D"/>
    <w:rsid w:val="00E8430A"/>
    <w:rsid w:val="00E84854"/>
    <w:rsid w:val="00E857A6"/>
    <w:rsid w:val="00E91235"/>
    <w:rsid w:val="00E92EB1"/>
    <w:rsid w:val="00E95BF0"/>
    <w:rsid w:val="00E95E32"/>
    <w:rsid w:val="00E96A81"/>
    <w:rsid w:val="00E973EE"/>
    <w:rsid w:val="00E97AF3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B7AFC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2F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644E"/>
    <w:rsid w:val="00F179A4"/>
    <w:rsid w:val="00F2055B"/>
    <w:rsid w:val="00F20CBA"/>
    <w:rsid w:val="00F22AD6"/>
    <w:rsid w:val="00F22AF9"/>
    <w:rsid w:val="00F2521B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2DD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A70B6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D69A-1B0E-4DF8-A81D-F9D592C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4</cp:revision>
  <cp:lastPrinted>2021-07-05T02:11:00Z</cp:lastPrinted>
  <dcterms:created xsi:type="dcterms:W3CDTF">2021-09-21T08:41:00Z</dcterms:created>
  <dcterms:modified xsi:type="dcterms:W3CDTF">2021-09-22T08:32:00Z</dcterms:modified>
</cp:coreProperties>
</file>