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CFE28" w14:textId="03FC273F" w:rsidR="002F1192" w:rsidRDefault="004E61C7" w:rsidP="002F1192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E61C7">
        <w:rPr>
          <w:rFonts w:ascii="Arial" w:hAnsi="Arial" w:cs="Arial"/>
          <w:b/>
          <w:sz w:val="32"/>
          <w:szCs w:val="32"/>
        </w:rPr>
        <w:t>DSWD DROMIC Report #</w:t>
      </w:r>
      <w:r w:rsidR="0032537A">
        <w:rPr>
          <w:rFonts w:ascii="Arial" w:hAnsi="Arial" w:cs="Arial"/>
          <w:b/>
          <w:sz w:val="32"/>
          <w:szCs w:val="32"/>
        </w:rPr>
        <w:t>2</w:t>
      </w:r>
      <w:r w:rsidRPr="004E61C7">
        <w:rPr>
          <w:rFonts w:ascii="Arial" w:hAnsi="Arial" w:cs="Arial"/>
          <w:b/>
          <w:sz w:val="32"/>
          <w:szCs w:val="32"/>
        </w:rPr>
        <w:t xml:space="preserve"> on the </w:t>
      </w:r>
    </w:p>
    <w:p w14:paraId="5F34BF07" w14:textId="37D38047" w:rsidR="004E61C7" w:rsidRDefault="002F1192" w:rsidP="002F1192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F1192">
        <w:rPr>
          <w:rFonts w:ascii="Arial" w:hAnsi="Arial" w:cs="Arial"/>
          <w:b/>
          <w:sz w:val="32"/>
          <w:szCs w:val="32"/>
        </w:rPr>
        <w:t>Effects of LPA with embedded ITCZ</w:t>
      </w:r>
    </w:p>
    <w:p w14:paraId="663B3B84" w14:textId="33E06A3C" w:rsidR="00D41206" w:rsidRDefault="00D41206" w:rsidP="00E40D60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4E61C7">
        <w:rPr>
          <w:rFonts w:ascii="Arial" w:eastAsia="Arial" w:hAnsi="Arial" w:cs="Arial"/>
          <w:sz w:val="24"/>
          <w:szCs w:val="24"/>
        </w:rPr>
        <w:t>2</w:t>
      </w:r>
      <w:r w:rsidR="002F1192">
        <w:rPr>
          <w:rFonts w:ascii="Arial" w:eastAsia="Arial" w:hAnsi="Arial" w:cs="Arial"/>
          <w:sz w:val="24"/>
          <w:szCs w:val="24"/>
        </w:rPr>
        <w:t>4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="001802EA">
        <w:rPr>
          <w:rFonts w:ascii="Arial" w:eastAsia="Arial" w:hAnsi="Arial" w:cs="Arial"/>
          <w:sz w:val="24"/>
          <w:szCs w:val="24"/>
        </w:rPr>
        <w:t>September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p w14:paraId="6897C7A7" w14:textId="77777777" w:rsidR="00B30B91" w:rsidRDefault="00261A8B" w:rsidP="00B30B91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41570E88" w14:textId="77777777" w:rsidR="00B30B91" w:rsidRDefault="00B30B91" w:rsidP="00B30B91">
      <w:pPr>
        <w:pStyle w:val="NoSpacing"/>
        <w:ind w:left="720"/>
        <w:contextualSpacing/>
        <w:jc w:val="both"/>
        <w:rPr>
          <w:rFonts w:ascii="Arial" w:hAnsi="Arial" w:cs="Arial"/>
          <w:lang w:val="en-US"/>
        </w:rPr>
      </w:pPr>
    </w:p>
    <w:p w14:paraId="6142356F" w14:textId="220B96D1" w:rsidR="004E61C7" w:rsidRPr="00B30B91" w:rsidRDefault="00532294" w:rsidP="00B30B91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B30B91">
        <w:rPr>
          <w:rFonts w:ascii="Arial" w:hAnsi="Arial" w:cs="Arial"/>
          <w:lang w:val="en-US"/>
        </w:rPr>
        <w:t xml:space="preserve">On 20 September 2021 </w:t>
      </w:r>
      <w:r w:rsidR="00B30B91" w:rsidRPr="00B30B91">
        <w:rPr>
          <w:rFonts w:ascii="Arial" w:hAnsi="Arial" w:cs="Arial"/>
          <w:lang w:val="en-US"/>
        </w:rPr>
        <w:t>the Low Pressure Area (LPA) was</w:t>
      </w:r>
      <w:r w:rsidR="00B30B91">
        <w:rPr>
          <w:rFonts w:ascii="Arial" w:hAnsi="Arial" w:cs="Arial"/>
          <w:lang w:val="en-US"/>
        </w:rPr>
        <w:t xml:space="preserve"> </w:t>
      </w:r>
      <w:r w:rsidR="00B30B91" w:rsidRPr="00B30B91">
        <w:rPr>
          <w:rFonts w:ascii="Arial" w:hAnsi="Arial" w:cs="Arial"/>
          <w:lang w:val="en-US"/>
        </w:rPr>
        <w:t xml:space="preserve">estimated based on all available data at 280 km West of Subic, </w:t>
      </w:r>
      <w:proofErr w:type="spellStart"/>
      <w:r w:rsidR="00B30B91" w:rsidRPr="00B30B91">
        <w:rPr>
          <w:rFonts w:ascii="Arial" w:hAnsi="Arial" w:cs="Arial"/>
          <w:lang w:val="en-US"/>
        </w:rPr>
        <w:t>Zambales</w:t>
      </w:r>
      <w:proofErr w:type="spellEnd"/>
      <w:r w:rsidR="00B30B91">
        <w:rPr>
          <w:rFonts w:ascii="Arial" w:hAnsi="Arial" w:cs="Arial"/>
          <w:lang w:val="en-US"/>
        </w:rPr>
        <w:t xml:space="preserve"> </w:t>
      </w:r>
      <w:r w:rsidR="00B30B91" w:rsidRPr="00B30B91">
        <w:rPr>
          <w:rFonts w:ascii="Arial" w:hAnsi="Arial" w:cs="Arial"/>
          <w:lang w:val="en-US"/>
        </w:rPr>
        <w:t>embedded in the Intertropical Convergence</w:t>
      </w:r>
      <w:r w:rsidR="00B30B91">
        <w:rPr>
          <w:rFonts w:ascii="Arial" w:hAnsi="Arial" w:cs="Arial"/>
          <w:lang w:val="en-US"/>
        </w:rPr>
        <w:t xml:space="preserve"> Zone (ITCZ) affecting </w:t>
      </w:r>
      <w:r w:rsidR="002F1192" w:rsidRPr="002F1192">
        <w:rPr>
          <w:rFonts w:ascii="Arial" w:hAnsi="Arial" w:cs="Arial"/>
          <w:lang w:val="en-US"/>
        </w:rPr>
        <w:t xml:space="preserve">MIMAROPA, Western </w:t>
      </w:r>
      <w:proofErr w:type="spellStart"/>
      <w:r w:rsidR="002F1192" w:rsidRPr="002F1192">
        <w:rPr>
          <w:rFonts w:ascii="Arial" w:hAnsi="Arial" w:cs="Arial"/>
          <w:lang w:val="en-US"/>
        </w:rPr>
        <w:t>Visayas</w:t>
      </w:r>
      <w:proofErr w:type="spellEnd"/>
      <w:r w:rsidR="002F1192" w:rsidRPr="002F1192">
        <w:rPr>
          <w:rFonts w:ascii="Arial" w:hAnsi="Arial" w:cs="Arial"/>
          <w:lang w:val="en-US"/>
        </w:rPr>
        <w:t>, Mindanao and Quezon</w:t>
      </w:r>
      <w:r w:rsidR="004E61C7" w:rsidRPr="004E61C7">
        <w:rPr>
          <w:rFonts w:ascii="Arial" w:eastAsia="Arial" w:hAnsi="Arial" w:cs="Arial"/>
          <w:color w:val="000000"/>
        </w:rPr>
        <w:t>.</w:t>
      </w:r>
      <w:r w:rsidR="002F1192">
        <w:rPr>
          <w:rFonts w:ascii="Arial" w:eastAsia="Arial" w:hAnsi="Arial" w:cs="Arial"/>
          <w:color w:val="000000"/>
        </w:rPr>
        <w:tab/>
      </w:r>
    </w:p>
    <w:p w14:paraId="331E47E9" w14:textId="02F2A4A2" w:rsidR="00E0043D" w:rsidRPr="00AA42FD" w:rsidRDefault="004E61C7" w:rsidP="004E61C7">
      <w:pPr>
        <w:pStyle w:val="m-238788826140140219gmail-msonormal"/>
        <w:shd w:val="clear" w:color="auto" w:fill="FFFFFF"/>
        <w:spacing w:before="0" w:beforeAutospacing="0" w:after="0" w:afterAutospacing="0"/>
        <w:ind w:firstLine="72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2F1192">
        <w:rPr>
          <w:rFonts w:ascii="Arial" w:eastAsia="Arial" w:hAnsi="Arial" w:cs="Arial"/>
          <w:i/>
          <w:color w:val="0070C0"/>
          <w:sz w:val="16"/>
        </w:rPr>
        <w:t xml:space="preserve">Source: DOST </w:t>
      </w:r>
      <w:proofErr w:type="spellStart"/>
      <w:r w:rsidR="002F1192">
        <w:rPr>
          <w:rFonts w:ascii="Arial" w:eastAsia="Arial" w:hAnsi="Arial" w:cs="Arial"/>
          <w:i/>
          <w:color w:val="0070C0"/>
          <w:sz w:val="16"/>
        </w:rPr>
        <w:t>pag-asa</w:t>
      </w:r>
      <w:proofErr w:type="spellEnd"/>
      <w:r w:rsidR="002F1192">
        <w:rPr>
          <w:rFonts w:ascii="Arial" w:eastAsia="Arial" w:hAnsi="Arial" w:cs="Arial"/>
          <w:i/>
          <w:color w:val="0070C0"/>
          <w:sz w:val="16"/>
        </w:rPr>
        <w:t xml:space="preserve"> daily weather forecast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84CFF9D" w:rsidR="00FC091D" w:rsidRPr="00D43CF7" w:rsidRDefault="00261A8B" w:rsidP="00D43CF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7420309" w14:textId="25D74C95" w:rsidR="00E0043D" w:rsidRPr="008F02A9" w:rsidRDefault="001056FC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E0043D" w:rsidRPr="008F02A9">
        <w:rPr>
          <w:rFonts w:ascii="Arial" w:eastAsia="Arial" w:hAnsi="Arial" w:cs="Arial"/>
          <w:sz w:val="24"/>
          <w:szCs w:val="24"/>
        </w:rPr>
        <w:t xml:space="preserve"> </w:t>
      </w:r>
      <w:r w:rsidR="00D43CF7" w:rsidRPr="00D43CF7">
        <w:rPr>
          <w:rFonts w:ascii="Arial" w:eastAsia="Arial" w:hAnsi="Arial" w:cs="Arial"/>
          <w:b/>
          <w:color w:val="0070C0"/>
          <w:sz w:val="24"/>
          <w:szCs w:val="24"/>
        </w:rPr>
        <w:t xml:space="preserve">3,968 </w:t>
      </w:r>
      <w:r w:rsidR="00E0043D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E0043D" w:rsidRPr="008F02A9">
        <w:rPr>
          <w:rFonts w:ascii="Arial" w:eastAsia="Arial" w:hAnsi="Arial" w:cs="Arial"/>
          <w:sz w:val="24"/>
          <w:szCs w:val="24"/>
        </w:rPr>
        <w:t>or</w:t>
      </w:r>
      <w:r w:rsidR="00E0043D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D43CF7" w:rsidRPr="00D43CF7">
        <w:rPr>
          <w:rFonts w:ascii="Arial" w:eastAsia="Arial" w:hAnsi="Arial" w:cs="Arial"/>
          <w:b/>
          <w:color w:val="0070C0"/>
          <w:sz w:val="24"/>
          <w:szCs w:val="24"/>
        </w:rPr>
        <w:t xml:space="preserve">16,266 </w:t>
      </w:r>
      <w:r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043D" w:rsidRPr="008F02A9">
        <w:rPr>
          <w:rFonts w:ascii="Arial" w:eastAsia="Arial" w:hAnsi="Arial" w:cs="Arial"/>
          <w:sz w:val="24"/>
          <w:szCs w:val="24"/>
        </w:rPr>
        <w:t xml:space="preserve"> affected </w:t>
      </w:r>
      <w:r w:rsidR="00973D1A">
        <w:rPr>
          <w:rFonts w:ascii="Arial" w:eastAsia="Arial" w:hAnsi="Arial" w:cs="Arial"/>
          <w:sz w:val="24"/>
          <w:szCs w:val="24"/>
        </w:rPr>
        <w:t xml:space="preserve">in </w:t>
      </w:r>
      <w:r w:rsidR="00D43CF7">
        <w:rPr>
          <w:rFonts w:ascii="Arial" w:eastAsia="Arial" w:hAnsi="Arial" w:cs="Arial"/>
          <w:b/>
          <w:bCs/>
          <w:color w:val="0070C0"/>
          <w:sz w:val="24"/>
          <w:szCs w:val="24"/>
        </w:rPr>
        <w:t>17</w:t>
      </w:r>
      <w:r w:rsidR="00A33CB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barangays </w:t>
      </w:r>
      <w:r w:rsidR="00A33CB3" w:rsidRPr="00A33CB3">
        <w:rPr>
          <w:rFonts w:ascii="Arial" w:eastAsia="Arial" w:hAnsi="Arial" w:cs="Arial"/>
          <w:bCs/>
          <w:sz w:val="24"/>
          <w:szCs w:val="24"/>
        </w:rPr>
        <w:t>in</w:t>
      </w:r>
      <w:r w:rsidR="00EA2CAF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D43CF7">
        <w:rPr>
          <w:rFonts w:ascii="Arial" w:eastAsia="Arial" w:hAnsi="Arial" w:cs="Arial"/>
          <w:b/>
          <w:bCs/>
          <w:color w:val="0070C0"/>
          <w:sz w:val="24"/>
          <w:szCs w:val="24"/>
        </w:rPr>
        <w:t>Regions VI and XI</w:t>
      </w:r>
      <w:r w:rsidR="00AF5905" w:rsidRPr="00AF59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0043D" w:rsidRPr="008F02A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51"/>
        <w:gridCol w:w="1918"/>
        <w:gridCol w:w="1261"/>
        <w:gridCol w:w="1259"/>
      </w:tblGrid>
      <w:tr w:rsidR="00D43CF7" w:rsidRPr="00D43CF7" w14:paraId="0F08BB31" w14:textId="77777777" w:rsidTr="00D43CF7">
        <w:trPr>
          <w:trHeight w:val="20"/>
        </w:trPr>
        <w:tc>
          <w:tcPr>
            <w:tcW w:w="25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E4F72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AAA6B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D43CF7" w:rsidRPr="00D43CF7" w14:paraId="52A6E328" w14:textId="77777777" w:rsidTr="00D43CF7">
        <w:trPr>
          <w:trHeight w:val="20"/>
        </w:trPr>
        <w:tc>
          <w:tcPr>
            <w:tcW w:w="25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0B430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D58CD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46F43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D3F6C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43CF7" w:rsidRPr="00D43CF7" w14:paraId="5A46CBE5" w14:textId="77777777" w:rsidTr="00D43CF7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79947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019BF" w14:textId="4DC1437C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8B63D" w14:textId="7BCB7785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3,968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413C1" w14:textId="430EB03A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16,266 </w:t>
            </w:r>
          </w:p>
        </w:tc>
      </w:tr>
      <w:tr w:rsidR="00D43CF7" w:rsidRPr="00D43CF7" w14:paraId="269F3342" w14:textId="77777777" w:rsidTr="00D43CF7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908E6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7514C" w14:textId="1146C799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6A01C" w14:textId="20773815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9214B" w14:textId="0B2FE18A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1,956 </w:t>
            </w:r>
          </w:p>
        </w:tc>
      </w:tr>
      <w:tr w:rsidR="00D43CF7" w:rsidRPr="00D43CF7" w14:paraId="5B2345D2" w14:textId="77777777" w:rsidTr="00D43CF7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E2BF0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88289" w14:textId="068C9ABB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48E46" w14:textId="3AE80C03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2D85E" w14:textId="0543A416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1,956 </w:t>
            </w:r>
          </w:p>
        </w:tc>
      </w:tr>
      <w:tr w:rsidR="00D43CF7" w:rsidRPr="00D43CF7" w14:paraId="3F8CC9B9" w14:textId="77777777" w:rsidTr="00D43CF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A618D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D5D61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40F27" w14:textId="5CA9B9FB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63EDC" w14:textId="578A7F18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642C9" w14:textId="6F429793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1,956 </w:t>
            </w:r>
          </w:p>
        </w:tc>
      </w:tr>
      <w:tr w:rsidR="00D43CF7" w:rsidRPr="00D43CF7" w14:paraId="5F6CDF0A" w14:textId="77777777" w:rsidTr="00D43CF7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39A99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E91A2" w14:textId="13F67D0E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5DA95" w14:textId="259902E1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3,162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F3ABA" w14:textId="76237C08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14,310 </w:t>
            </w:r>
          </w:p>
        </w:tc>
      </w:tr>
      <w:tr w:rsidR="00D43CF7" w:rsidRPr="00D43CF7" w14:paraId="0BC24498" w14:textId="77777777" w:rsidTr="00D43CF7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56AEE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426AB" w14:textId="3F8CCB7F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C51DA" w14:textId="021D066C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2,500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CE8F9" w14:textId="7ADDC024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11,000 </w:t>
            </w:r>
          </w:p>
        </w:tc>
      </w:tr>
      <w:tr w:rsidR="00D43CF7" w:rsidRPr="00D43CF7" w14:paraId="78B81372" w14:textId="77777777" w:rsidTr="00D43CF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E2E2C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E153E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43C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Mabini</w:t>
            </w:r>
            <w:proofErr w:type="spellEnd"/>
            <w:r w:rsidRPr="00D43C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(Doña Alicia)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1BB65" w14:textId="47CF3701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F03A8" w14:textId="7515222D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2,500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C2870" w14:textId="3F624A31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11,000 </w:t>
            </w:r>
          </w:p>
        </w:tc>
      </w:tr>
      <w:tr w:rsidR="00D43CF7" w:rsidRPr="00D43CF7" w14:paraId="79689947" w14:textId="77777777" w:rsidTr="00D43CF7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EF68C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535B2" w14:textId="22B602D9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9C986" w14:textId="54C495EE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50E0B" w14:textId="6694DEEA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3,310 </w:t>
            </w:r>
          </w:p>
        </w:tc>
      </w:tr>
      <w:tr w:rsidR="00D43CF7" w:rsidRPr="00D43CF7" w14:paraId="7EB0113F" w14:textId="77777777" w:rsidTr="00D43CF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D3E77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236DF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Asuncion (</w:t>
            </w:r>
            <w:proofErr w:type="spellStart"/>
            <w:r w:rsidRPr="00D43C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Saug</w:t>
            </w:r>
            <w:proofErr w:type="spellEnd"/>
            <w:r w:rsidRPr="00D43C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FC21C" w14:textId="5A41BA38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66F62" w14:textId="0288E906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BD9D1" w14:textId="0F1700AA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3,310 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3E7CA4D7" w:rsidR="00D41206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B30B91">
        <w:rPr>
          <w:rFonts w:ascii="Arial" w:eastAsia="Arial" w:hAnsi="Arial" w:cs="Arial"/>
          <w:i/>
          <w:color w:val="0070C0"/>
          <w:sz w:val="16"/>
        </w:rPr>
        <w:t>DSWD-FO</w:t>
      </w:r>
      <w:r w:rsidR="00D43CF7">
        <w:rPr>
          <w:rFonts w:ascii="Arial" w:eastAsia="Arial" w:hAnsi="Arial" w:cs="Arial"/>
          <w:i/>
          <w:color w:val="0070C0"/>
          <w:sz w:val="16"/>
        </w:rPr>
        <w:t>s VI and</w:t>
      </w:r>
      <w:r w:rsidR="00B30B91">
        <w:rPr>
          <w:rFonts w:ascii="Arial" w:eastAsia="Arial" w:hAnsi="Arial" w:cs="Arial"/>
          <w:i/>
          <w:color w:val="0070C0"/>
          <w:sz w:val="16"/>
        </w:rPr>
        <w:t xml:space="preserve"> XI</w:t>
      </w:r>
    </w:p>
    <w:p w14:paraId="4ECCA1BF" w14:textId="77777777" w:rsidR="00D43CF7" w:rsidRPr="00E0043D" w:rsidRDefault="00D43CF7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8C146DE" w14:textId="77777777" w:rsidR="00D43CF7" w:rsidRDefault="00D43CF7" w:rsidP="00D43CF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</w:t>
      </w:r>
      <w:r>
        <w:rPr>
          <w:rFonts w:ascii="Arial" w:hAnsi="Arial" w:cs="Arial"/>
          <w:b/>
          <w:sz w:val="28"/>
          <w:szCs w:val="24"/>
        </w:rPr>
        <w:t xml:space="preserve">Displaced </w:t>
      </w:r>
      <w:r w:rsidRPr="004208E9">
        <w:rPr>
          <w:rFonts w:ascii="Arial" w:hAnsi="Arial" w:cs="Arial"/>
          <w:b/>
          <w:sz w:val="28"/>
          <w:szCs w:val="24"/>
        </w:rPr>
        <w:t xml:space="preserve">Population </w:t>
      </w:r>
    </w:p>
    <w:p w14:paraId="0EFE6D68" w14:textId="466BBABD" w:rsidR="00D43CF7" w:rsidRPr="00FD5D92" w:rsidRDefault="00D43CF7" w:rsidP="00D43CF7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D5D92">
        <w:rPr>
          <w:rFonts w:ascii="Arial" w:hAnsi="Arial" w:cs="Arial"/>
          <w:b/>
          <w:color w:val="002060"/>
          <w:sz w:val="24"/>
          <w:szCs w:val="24"/>
        </w:rPr>
        <w:t xml:space="preserve">a. Inside Evacuation Centers </w:t>
      </w:r>
    </w:p>
    <w:p w14:paraId="2DE7B0B7" w14:textId="527F9E19" w:rsidR="00D43CF7" w:rsidRDefault="00D43CF7" w:rsidP="00FD5D92">
      <w:pPr>
        <w:pStyle w:val="NoSpacing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D43CF7">
        <w:rPr>
          <w:rFonts w:ascii="Arial" w:hAnsi="Arial" w:cs="Arial"/>
          <w:sz w:val="24"/>
          <w:szCs w:val="24"/>
        </w:rPr>
        <w:t xml:space="preserve">There are </w:t>
      </w:r>
      <w:r w:rsidRPr="00FD5D92">
        <w:rPr>
          <w:rFonts w:ascii="Arial" w:hAnsi="Arial" w:cs="Arial"/>
          <w:b/>
          <w:color w:val="0070C0"/>
          <w:sz w:val="24"/>
          <w:szCs w:val="24"/>
        </w:rPr>
        <w:t>12 families</w:t>
      </w:r>
      <w:r w:rsidRPr="00FD5D92">
        <w:rPr>
          <w:rFonts w:ascii="Arial" w:hAnsi="Arial" w:cs="Arial"/>
          <w:color w:val="0070C0"/>
          <w:sz w:val="24"/>
          <w:szCs w:val="24"/>
        </w:rPr>
        <w:t xml:space="preserve"> </w:t>
      </w:r>
      <w:r w:rsidRPr="00D43CF7">
        <w:rPr>
          <w:rFonts w:ascii="Arial" w:hAnsi="Arial" w:cs="Arial"/>
          <w:sz w:val="24"/>
          <w:szCs w:val="24"/>
        </w:rPr>
        <w:t xml:space="preserve">or </w:t>
      </w:r>
      <w:r w:rsidRPr="00FD5D92">
        <w:rPr>
          <w:rFonts w:ascii="Arial" w:hAnsi="Arial" w:cs="Arial"/>
          <w:b/>
          <w:color w:val="0070C0"/>
          <w:sz w:val="24"/>
          <w:szCs w:val="24"/>
        </w:rPr>
        <w:t>36 persons</w:t>
      </w:r>
      <w:r w:rsidRPr="00FD5D92">
        <w:rPr>
          <w:rFonts w:ascii="Arial" w:hAnsi="Arial" w:cs="Arial"/>
          <w:color w:val="0070C0"/>
          <w:sz w:val="24"/>
          <w:szCs w:val="24"/>
        </w:rPr>
        <w:t xml:space="preserve"> </w:t>
      </w:r>
      <w:r w:rsidRPr="00D43CF7">
        <w:rPr>
          <w:rFonts w:ascii="Arial" w:hAnsi="Arial" w:cs="Arial"/>
          <w:sz w:val="24"/>
          <w:szCs w:val="24"/>
        </w:rPr>
        <w:t>currently</w:t>
      </w:r>
      <w:r>
        <w:rPr>
          <w:rFonts w:ascii="Arial" w:hAnsi="Arial" w:cs="Arial"/>
          <w:sz w:val="24"/>
          <w:szCs w:val="24"/>
        </w:rPr>
        <w:t xml:space="preserve"> taking temporary shelter in</w:t>
      </w:r>
      <w:r w:rsidR="00FD5D92">
        <w:rPr>
          <w:rFonts w:ascii="Arial" w:hAnsi="Arial" w:cs="Arial"/>
          <w:sz w:val="24"/>
          <w:szCs w:val="24"/>
        </w:rPr>
        <w:t>side the</w:t>
      </w:r>
      <w:r>
        <w:rPr>
          <w:rFonts w:ascii="Arial" w:hAnsi="Arial" w:cs="Arial"/>
          <w:sz w:val="24"/>
          <w:szCs w:val="24"/>
        </w:rPr>
        <w:t xml:space="preserve"> </w:t>
      </w:r>
      <w:r w:rsidRPr="00FD5D92">
        <w:rPr>
          <w:rFonts w:ascii="Arial" w:hAnsi="Arial" w:cs="Arial"/>
          <w:b/>
          <w:color w:val="0070C0"/>
          <w:sz w:val="24"/>
          <w:szCs w:val="24"/>
        </w:rPr>
        <w:t>Municipal EC</w:t>
      </w:r>
      <w:r w:rsidRPr="00FD5D92">
        <w:rPr>
          <w:rFonts w:ascii="Arial" w:hAnsi="Arial" w:cs="Arial"/>
          <w:color w:val="0070C0"/>
          <w:sz w:val="24"/>
          <w:szCs w:val="24"/>
        </w:rPr>
        <w:t xml:space="preserve"> </w:t>
      </w:r>
      <w:r w:rsidRPr="00D43CF7">
        <w:rPr>
          <w:rFonts w:ascii="Arial" w:hAnsi="Arial" w:cs="Arial"/>
          <w:sz w:val="24"/>
          <w:szCs w:val="24"/>
        </w:rPr>
        <w:t>(see Table 2).</w:t>
      </w:r>
    </w:p>
    <w:p w14:paraId="5A165EBA" w14:textId="674443CF" w:rsidR="00D43CF7" w:rsidRDefault="00D43CF7" w:rsidP="00D43CF7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0EA3810" w14:textId="655918A3" w:rsidR="00FD5D92" w:rsidRPr="00FD5D92" w:rsidRDefault="00FD5D92" w:rsidP="00FD5D92">
      <w:pPr>
        <w:pStyle w:val="NoSpacing"/>
        <w:ind w:left="993"/>
        <w:contextualSpacing/>
        <w:jc w:val="both"/>
        <w:rPr>
          <w:rFonts w:ascii="Arial" w:hAnsi="Arial" w:cs="Arial"/>
          <w:b/>
          <w:i/>
          <w:sz w:val="20"/>
          <w:szCs w:val="24"/>
        </w:rPr>
      </w:pPr>
      <w:r w:rsidRPr="00FD5D92">
        <w:rPr>
          <w:rFonts w:ascii="Arial" w:hAnsi="Arial" w:cs="Arial"/>
          <w:b/>
          <w:i/>
          <w:sz w:val="20"/>
          <w:szCs w:val="24"/>
        </w:rPr>
        <w:t>Table 2. Number of Displaced Families / Persons Inside Evacuation Centers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876"/>
        <w:gridCol w:w="954"/>
        <w:gridCol w:w="959"/>
        <w:gridCol w:w="956"/>
        <w:gridCol w:w="958"/>
        <w:gridCol w:w="956"/>
        <w:gridCol w:w="951"/>
      </w:tblGrid>
      <w:tr w:rsidR="00D43CF7" w:rsidRPr="00D43CF7" w14:paraId="3CD732CD" w14:textId="77777777" w:rsidTr="00FD5D92">
        <w:trPr>
          <w:trHeight w:val="20"/>
        </w:trPr>
        <w:tc>
          <w:tcPr>
            <w:tcW w:w="17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CD1FE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0F9F5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1E912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43CF7" w:rsidRPr="00D43CF7" w14:paraId="5371A1E6" w14:textId="77777777" w:rsidTr="00FD5D92">
        <w:trPr>
          <w:trHeight w:val="20"/>
        </w:trPr>
        <w:tc>
          <w:tcPr>
            <w:tcW w:w="1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4C574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7CAF4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1EE59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D43CF7" w:rsidRPr="00D43CF7" w14:paraId="12BE3613" w14:textId="77777777" w:rsidTr="00FD5D92">
        <w:trPr>
          <w:trHeight w:val="20"/>
        </w:trPr>
        <w:tc>
          <w:tcPr>
            <w:tcW w:w="1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CDF07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4EDA8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DFEE8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8B895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43CF7" w:rsidRPr="00D43CF7" w14:paraId="7A1C2669" w14:textId="77777777" w:rsidTr="00FD5D92">
        <w:trPr>
          <w:trHeight w:val="20"/>
        </w:trPr>
        <w:tc>
          <w:tcPr>
            <w:tcW w:w="1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D39D1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FC245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CA582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66143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E3CE7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3439C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57B67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43CF7" w:rsidRPr="00D43CF7" w14:paraId="4C83A213" w14:textId="77777777" w:rsidTr="00FD5D92">
        <w:trPr>
          <w:trHeight w:val="20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9A1F7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74BD0" w14:textId="3E41A1E5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41E31" w14:textId="76A2C07A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6F70C" w14:textId="3114F605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05882" w14:textId="69D94213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04233" w14:textId="3219E1ED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8899A" w14:textId="5DFB0FAA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</w:tr>
      <w:tr w:rsidR="00D43CF7" w:rsidRPr="00D43CF7" w14:paraId="027925BC" w14:textId="77777777" w:rsidTr="00FD5D92">
        <w:trPr>
          <w:trHeight w:val="20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D9787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B1412" w14:textId="44C24B9E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DE476" w14:textId="6D224C5A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24840" w14:textId="66E60810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AA0BB" w14:textId="6C051E75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50BD7" w14:textId="2C452516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3EBC9" w14:textId="087C5205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</w:tr>
      <w:tr w:rsidR="00D43CF7" w:rsidRPr="00D43CF7" w14:paraId="7E3C9E37" w14:textId="77777777" w:rsidTr="00FD5D92">
        <w:trPr>
          <w:trHeight w:val="20"/>
        </w:trPr>
        <w:tc>
          <w:tcPr>
            <w:tcW w:w="1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95B1C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93BC3" w14:textId="46D8123A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65253" w14:textId="15CFA216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1139E" w14:textId="7BEFE5AA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A6997" w14:textId="35786B67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1B3DA" w14:textId="25DC4C17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D7E8B" w14:textId="10A4D178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</w:tr>
      <w:tr w:rsidR="00D43CF7" w:rsidRPr="00D43CF7" w14:paraId="5543D729" w14:textId="77777777" w:rsidTr="00FD5D92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EB0C5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05B18" w14:textId="77777777" w:rsidR="00D43CF7" w:rsidRPr="00D43CF7" w:rsidRDefault="00D43CF7" w:rsidP="00D43C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3865B" w14:textId="5FC7C157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61458" w14:textId="4365B4B3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75229" w14:textId="15C38396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79F5F" w14:textId="35641F22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9ED5A" w14:textId="36112C4A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3A0FC" w14:textId="2A0CFC35" w:rsidR="00D43CF7" w:rsidRPr="00D43CF7" w:rsidRDefault="00D43CF7" w:rsidP="00D43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3C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</w:tr>
    </w:tbl>
    <w:p w14:paraId="7E3F590E" w14:textId="77777777" w:rsidR="00FD5D92" w:rsidRPr="00D748B7" w:rsidRDefault="00FD5D92" w:rsidP="00FD5D92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C60C669" w14:textId="4CDEA2B2" w:rsidR="00D43CF7" w:rsidRDefault="00FD5D92" w:rsidP="00FD5D9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>Source: DSWD-FOs VI</w:t>
      </w:r>
    </w:p>
    <w:p w14:paraId="1414697F" w14:textId="77777777" w:rsidR="00FD5D92" w:rsidRPr="00D43CF7" w:rsidRDefault="00FD5D92" w:rsidP="00FD5D9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</w:rPr>
      </w:pPr>
    </w:p>
    <w:p w14:paraId="11C9949D" w14:textId="37D62A06" w:rsidR="00FD5D92" w:rsidRPr="00FD5D92" w:rsidRDefault="00FD5D92" w:rsidP="00FD5D92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proofErr w:type="spellStart"/>
      <w:r>
        <w:rPr>
          <w:rFonts w:ascii="Arial" w:hAnsi="Arial" w:cs="Arial"/>
          <w:b/>
          <w:color w:val="002060"/>
          <w:sz w:val="24"/>
          <w:szCs w:val="24"/>
        </w:rPr>
        <w:t>b</w:t>
      </w:r>
      <w:r w:rsidRPr="00FD5D92">
        <w:rPr>
          <w:rFonts w:ascii="Arial" w:hAnsi="Arial" w:cs="Arial"/>
          <w:b/>
          <w:color w:val="002060"/>
          <w:sz w:val="24"/>
          <w:szCs w:val="24"/>
        </w:rPr>
        <w:t>.</w:t>
      </w:r>
      <w:proofErr w:type="spellEnd"/>
      <w:r w:rsidRPr="00FD5D92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>Out</w:t>
      </w:r>
      <w:r w:rsidRPr="00FD5D92">
        <w:rPr>
          <w:rFonts w:ascii="Arial" w:hAnsi="Arial" w:cs="Arial"/>
          <w:b/>
          <w:color w:val="002060"/>
          <w:sz w:val="24"/>
          <w:szCs w:val="24"/>
        </w:rPr>
        <w:t xml:space="preserve">side Evacuation Centers </w:t>
      </w:r>
    </w:p>
    <w:p w14:paraId="70FF05FC" w14:textId="0294A267" w:rsidR="00D43CF7" w:rsidRDefault="00FD5D92" w:rsidP="00FD5D92">
      <w:pPr>
        <w:pStyle w:val="NoSpacing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FD5D92">
        <w:rPr>
          <w:rFonts w:ascii="Arial" w:hAnsi="Arial" w:cs="Arial"/>
          <w:sz w:val="24"/>
          <w:szCs w:val="24"/>
        </w:rPr>
        <w:t>There are 107 families or 455 persons temporarily staying with their relatives</w:t>
      </w:r>
      <w:r>
        <w:rPr>
          <w:rFonts w:ascii="Arial" w:hAnsi="Arial" w:cs="Arial"/>
          <w:sz w:val="24"/>
          <w:szCs w:val="24"/>
        </w:rPr>
        <w:t xml:space="preserve"> </w:t>
      </w:r>
      <w:r w:rsidRPr="00FD5D92">
        <w:rPr>
          <w:rFonts w:ascii="Arial" w:hAnsi="Arial" w:cs="Arial"/>
          <w:sz w:val="24"/>
          <w:szCs w:val="24"/>
        </w:rPr>
        <w:t>and/or friends in Regions CALABARZON and VI (see Table 3).</w:t>
      </w:r>
    </w:p>
    <w:p w14:paraId="1B26F2DB" w14:textId="413D18E5" w:rsidR="00FD5D92" w:rsidRDefault="00FD5D92" w:rsidP="00FD5D92">
      <w:pPr>
        <w:pStyle w:val="NoSpacing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14:paraId="5FF0EFB1" w14:textId="60F54004" w:rsidR="00FD5D92" w:rsidRDefault="00FD5D92" w:rsidP="00FD5D92">
      <w:pPr>
        <w:pStyle w:val="NoSpacing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14:paraId="3BA5D0F7" w14:textId="77777777" w:rsidR="00FD5D92" w:rsidRDefault="00FD5D92" w:rsidP="00FD5D92">
      <w:pPr>
        <w:pStyle w:val="NoSpacing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14:paraId="412843BD" w14:textId="6820571A" w:rsidR="00FD5D92" w:rsidRPr="00FD5D92" w:rsidRDefault="00FD5D92" w:rsidP="00FD5D92">
      <w:pPr>
        <w:pStyle w:val="NoSpacing"/>
        <w:ind w:left="993"/>
        <w:contextualSpacing/>
        <w:jc w:val="both"/>
        <w:rPr>
          <w:rFonts w:ascii="Arial" w:hAnsi="Arial" w:cs="Arial"/>
          <w:b/>
          <w:i/>
          <w:sz w:val="20"/>
          <w:szCs w:val="24"/>
        </w:rPr>
      </w:pPr>
      <w:r w:rsidRPr="00FD5D92">
        <w:rPr>
          <w:rFonts w:ascii="Arial" w:hAnsi="Arial" w:cs="Arial"/>
          <w:b/>
          <w:i/>
          <w:sz w:val="20"/>
          <w:szCs w:val="24"/>
        </w:rPr>
        <w:t>Table 3. Number of Displaced Families / Persons Outside Evacuation Centers</w:t>
      </w:r>
    </w:p>
    <w:tbl>
      <w:tblPr>
        <w:tblW w:w="4492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85"/>
        <w:gridCol w:w="1178"/>
        <w:gridCol w:w="1181"/>
        <w:gridCol w:w="1181"/>
        <w:gridCol w:w="1179"/>
      </w:tblGrid>
      <w:tr w:rsidR="00FD5D92" w:rsidRPr="00FD5D92" w14:paraId="0F01751D" w14:textId="77777777" w:rsidTr="00FD5D92">
        <w:trPr>
          <w:trHeight w:val="20"/>
          <w:tblHeader/>
        </w:trPr>
        <w:tc>
          <w:tcPr>
            <w:tcW w:w="23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F080D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4C0B4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D5D92" w:rsidRPr="00FD5D92" w14:paraId="4C06423D" w14:textId="77777777" w:rsidTr="00FD5D92">
        <w:trPr>
          <w:trHeight w:val="20"/>
          <w:tblHeader/>
        </w:trPr>
        <w:tc>
          <w:tcPr>
            <w:tcW w:w="23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68418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66D27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FD5D92" w:rsidRPr="00FD5D92" w14:paraId="4362EB29" w14:textId="77777777" w:rsidTr="00FD5D92">
        <w:trPr>
          <w:trHeight w:val="20"/>
          <w:tblHeader/>
        </w:trPr>
        <w:tc>
          <w:tcPr>
            <w:tcW w:w="23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80C88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5863D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B9AEB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D5D92" w:rsidRPr="00FD5D92" w14:paraId="112346F1" w14:textId="77777777" w:rsidTr="00FD5D92">
        <w:trPr>
          <w:trHeight w:val="20"/>
          <w:tblHeader/>
        </w:trPr>
        <w:tc>
          <w:tcPr>
            <w:tcW w:w="23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449CD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02960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FEA92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69A56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BB108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D5D92" w:rsidRPr="00FD5D92" w14:paraId="31374F36" w14:textId="77777777" w:rsidTr="00FD5D92">
        <w:trPr>
          <w:trHeight w:val="20"/>
        </w:trPr>
        <w:tc>
          <w:tcPr>
            <w:tcW w:w="2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E35DE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52E08" w14:textId="575A4009" w:rsidR="00FD5D92" w:rsidRPr="00FD5D92" w:rsidRDefault="00FD5D92" w:rsidP="00FD5D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3E571" w14:textId="591F879C" w:rsidR="00FD5D92" w:rsidRPr="00FD5D92" w:rsidRDefault="00FD5D92" w:rsidP="00FD5D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5CF2D" w14:textId="0BD83263" w:rsidR="00FD5D92" w:rsidRPr="00FD5D92" w:rsidRDefault="00FD5D92" w:rsidP="00FD5D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9FB38" w14:textId="1B57CDA3" w:rsidR="00FD5D92" w:rsidRPr="00FD5D92" w:rsidRDefault="00FD5D92" w:rsidP="00FD5D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1,916 </w:t>
            </w:r>
          </w:p>
        </w:tc>
      </w:tr>
      <w:tr w:rsidR="00FD5D92" w:rsidRPr="00FD5D92" w14:paraId="58932AE6" w14:textId="77777777" w:rsidTr="00FD5D92">
        <w:trPr>
          <w:trHeight w:val="20"/>
        </w:trPr>
        <w:tc>
          <w:tcPr>
            <w:tcW w:w="2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6A97B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093E5" w14:textId="37DBBA67" w:rsidR="00FD5D92" w:rsidRPr="00FD5D92" w:rsidRDefault="00FD5D92" w:rsidP="00FD5D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6AB95" w14:textId="08960DBB" w:rsidR="00FD5D92" w:rsidRPr="00FD5D92" w:rsidRDefault="00FD5D92" w:rsidP="00FD5D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1427B" w14:textId="2C28FB57" w:rsidR="00FD5D92" w:rsidRPr="00FD5D92" w:rsidRDefault="00FD5D92" w:rsidP="00FD5D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029E0" w14:textId="64E7FA71" w:rsidR="00FD5D92" w:rsidRPr="00FD5D92" w:rsidRDefault="00FD5D92" w:rsidP="00FD5D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1,916 </w:t>
            </w:r>
          </w:p>
        </w:tc>
      </w:tr>
      <w:tr w:rsidR="00FD5D92" w:rsidRPr="00FD5D92" w14:paraId="159AA092" w14:textId="77777777" w:rsidTr="00FD5D92">
        <w:trPr>
          <w:trHeight w:val="20"/>
        </w:trPr>
        <w:tc>
          <w:tcPr>
            <w:tcW w:w="2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1A00F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62583" w14:textId="0DAEEA55" w:rsidR="00FD5D92" w:rsidRPr="00FD5D92" w:rsidRDefault="00FD5D92" w:rsidP="00FD5D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9BFB2" w14:textId="25CFD353" w:rsidR="00FD5D92" w:rsidRPr="00FD5D92" w:rsidRDefault="00FD5D92" w:rsidP="00FD5D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BF6D8" w14:textId="1052DD35" w:rsidR="00FD5D92" w:rsidRPr="00FD5D92" w:rsidRDefault="00FD5D92" w:rsidP="00FD5D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97497" w14:textId="5E9357EB" w:rsidR="00FD5D92" w:rsidRPr="00FD5D92" w:rsidRDefault="00FD5D92" w:rsidP="00FD5D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1,916 </w:t>
            </w:r>
          </w:p>
        </w:tc>
      </w:tr>
      <w:tr w:rsidR="00FD5D92" w:rsidRPr="00FD5D92" w14:paraId="0622E2F6" w14:textId="77777777" w:rsidTr="00FD5D9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EC11A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2E7E7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73A26" w14:textId="17A6EB8D" w:rsidR="00FD5D92" w:rsidRPr="00FD5D92" w:rsidRDefault="00FD5D92" w:rsidP="00FD5D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E843D" w14:textId="645F91C0" w:rsidR="00FD5D92" w:rsidRPr="00FD5D92" w:rsidRDefault="00FD5D92" w:rsidP="00FD5D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42075" w14:textId="104BA1A6" w:rsidR="00FD5D92" w:rsidRPr="00FD5D92" w:rsidRDefault="00FD5D92" w:rsidP="00FD5D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DEB91" w14:textId="1643DBBB" w:rsidR="00FD5D92" w:rsidRPr="00FD5D92" w:rsidRDefault="00FD5D92" w:rsidP="00FD5D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1,916 </w:t>
            </w:r>
          </w:p>
        </w:tc>
      </w:tr>
    </w:tbl>
    <w:p w14:paraId="681E6488" w14:textId="77777777" w:rsidR="00FD5D92" w:rsidRPr="00D748B7" w:rsidRDefault="00FD5D92" w:rsidP="00FD5D92">
      <w:pPr>
        <w:spacing w:after="0" w:line="240" w:lineRule="auto"/>
        <w:ind w:right="27" w:firstLine="99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290EA29F" w14:textId="4D12C870" w:rsidR="00FD5D92" w:rsidRDefault="00FD5D92" w:rsidP="00FD5D9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>Source: DSWD-FOs VI</w:t>
      </w:r>
    </w:p>
    <w:p w14:paraId="64A049DA" w14:textId="77777777" w:rsidR="00FD5D92" w:rsidRPr="00FD5D92" w:rsidRDefault="00FD5D92" w:rsidP="00FD5D9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6E1F9748" w14:textId="1B622F31" w:rsidR="00FD5D92" w:rsidRDefault="00FD5D92" w:rsidP="00FD5D92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c</w:t>
      </w:r>
      <w:r w:rsidRPr="00FD5D92">
        <w:rPr>
          <w:rFonts w:ascii="Arial" w:hAnsi="Arial" w:cs="Arial"/>
          <w:b/>
          <w:color w:val="002060"/>
          <w:sz w:val="24"/>
          <w:szCs w:val="24"/>
        </w:rPr>
        <w:t xml:space="preserve">. </w:t>
      </w:r>
      <w:r>
        <w:rPr>
          <w:rFonts w:ascii="Arial" w:hAnsi="Arial" w:cs="Arial"/>
          <w:b/>
          <w:color w:val="002060"/>
          <w:sz w:val="24"/>
          <w:szCs w:val="24"/>
        </w:rPr>
        <w:t>Total Displaced Population</w:t>
      </w:r>
    </w:p>
    <w:p w14:paraId="6A86D901" w14:textId="22EED848" w:rsidR="00FD5D92" w:rsidRPr="00FD5D92" w:rsidRDefault="00FD5D92" w:rsidP="00FD5D92">
      <w:pPr>
        <w:pStyle w:val="NoSpacing"/>
        <w:ind w:left="993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D5D92">
        <w:rPr>
          <w:rFonts w:ascii="Arial" w:hAnsi="Arial" w:cs="Arial"/>
          <w:sz w:val="24"/>
          <w:szCs w:val="24"/>
        </w:rPr>
        <w:t xml:space="preserve">There are </w:t>
      </w:r>
      <w:r>
        <w:rPr>
          <w:rFonts w:ascii="Arial" w:hAnsi="Arial" w:cs="Arial"/>
          <w:sz w:val="24"/>
          <w:szCs w:val="24"/>
        </w:rPr>
        <w:t>806</w:t>
      </w:r>
      <w:r w:rsidRPr="00FD5D92">
        <w:rPr>
          <w:rFonts w:ascii="Arial" w:hAnsi="Arial" w:cs="Arial"/>
          <w:sz w:val="24"/>
          <w:szCs w:val="24"/>
        </w:rPr>
        <w:t xml:space="preserve"> families or 1,</w:t>
      </w:r>
      <w:r>
        <w:rPr>
          <w:rFonts w:ascii="Arial" w:hAnsi="Arial" w:cs="Arial"/>
          <w:sz w:val="24"/>
          <w:szCs w:val="24"/>
        </w:rPr>
        <w:t>952</w:t>
      </w:r>
      <w:r w:rsidRPr="00FD5D92">
        <w:rPr>
          <w:rFonts w:ascii="Arial" w:hAnsi="Arial" w:cs="Arial"/>
          <w:sz w:val="24"/>
          <w:szCs w:val="24"/>
        </w:rPr>
        <w:t xml:space="preserve"> persons temporarily staying either in evacuation</w:t>
      </w:r>
    </w:p>
    <w:p w14:paraId="37F2C36B" w14:textId="2612D29E" w:rsidR="00FD5D92" w:rsidRPr="00FD5D92" w:rsidRDefault="00FD5D92" w:rsidP="00FD5D92">
      <w:pPr>
        <w:pStyle w:val="NoSpacing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FD5D92">
        <w:rPr>
          <w:rFonts w:ascii="Arial" w:hAnsi="Arial" w:cs="Arial"/>
          <w:sz w:val="24"/>
          <w:szCs w:val="24"/>
        </w:rPr>
        <w:t>centers or with their rela</w:t>
      </w:r>
      <w:r>
        <w:rPr>
          <w:rFonts w:ascii="Arial" w:hAnsi="Arial" w:cs="Arial"/>
          <w:sz w:val="24"/>
          <w:szCs w:val="24"/>
        </w:rPr>
        <w:t xml:space="preserve">tives and/or friends in Region </w:t>
      </w:r>
      <w:r w:rsidRPr="00FD5D92">
        <w:rPr>
          <w:rFonts w:ascii="Arial" w:hAnsi="Arial" w:cs="Arial"/>
          <w:sz w:val="24"/>
          <w:szCs w:val="24"/>
        </w:rPr>
        <w:t>VI, and</w:t>
      </w:r>
      <w:r>
        <w:rPr>
          <w:rFonts w:ascii="Arial" w:hAnsi="Arial" w:cs="Arial"/>
          <w:sz w:val="24"/>
          <w:szCs w:val="24"/>
        </w:rPr>
        <w:t xml:space="preserve"> </w:t>
      </w:r>
      <w:r w:rsidRPr="00FD5D92">
        <w:rPr>
          <w:rFonts w:ascii="Arial" w:hAnsi="Arial" w:cs="Arial"/>
          <w:sz w:val="24"/>
          <w:szCs w:val="24"/>
        </w:rPr>
        <w:t>(see Table 4).</w:t>
      </w:r>
    </w:p>
    <w:p w14:paraId="07AE4954" w14:textId="58A4F5BA" w:rsidR="00FD5D92" w:rsidRDefault="00FD5D92" w:rsidP="00FD5D92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B73BC95" w14:textId="3EE7D6E0" w:rsidR="00FD5D92" w:rsidRPr="00FD5D92" w:rsidRDefault="00FD5D92" w:rsidP="00FD5D92">
      <w:pPr>
        <w:pStyle w:val="NoSpacing"/>
        <w:ind w:left="993"/>
        <w:contextualSpacing/>
        <w:jc w:val="both"/>
        <w:rPr>
          <w:rFonts w:ascii="Arial" w:hAnsi="Arial" w:cs="Arial"/>
          <w:b/>
          <w:i/>
          <w:sz w:val="20"/>
          <w:szCs w:val="24"/>
        </w:rPr>
      </w:pPr>
      <w:r w:rsidRPr="00FD5D92">
        <w:rPr>
          <w:rFonts w:ascii="Arial" w:hAnsi="Arial" w:cs="Arial"/>
          <w:b/>
          <w:i/>
          <w:sz w:val="20"/>
          <w:szCs w:val="24"/>
        </w:rPr>
        <w:t>Table 4. Total Number of Displaced Families / Persons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05"/>
        <w:gridCol w:w="1200"/>
        <w:gridCol w:w="1201"/>
        <w:gridCol w:w="1201"/>
        <w:gridCol w:w="1199"/>
      </w:tblGrid>
      <w:tr w:rsidR="00FD5D92" w:rsidRPr="00FD5D92" w14:paraId="6FE30B83" w14:textId="77777777" w:rsidTr="00FD5D92">
        <w:trPr>
          <w:trHeight w:val="20"/>
        </w:trPr>
        <w:tc>
          <w:tcPr>
            <w:tcW w:w="22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E14BE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4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EC5B1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FD5D92" w:rsidRPr="00FD5D92" w14:paraId="6CDE6503" w14:textId="77777777" w:rsidTr="00FD5D92">
        <w:trPr>
          <w:trHeight w:val="20"/>
        </w:trPr>
        <w:tc>
          <w:tcPr>
            <w:tcW w:w="22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D964D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BEF98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3A284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D5D92" w:rsidRPr="00FD5D92" w14:paraId="6A33202F" w14:textId="77777777" w:rsidTr="00FD5D92">
        <w:trPr>
          <w:trHeight w:val="20"/>
        </w:trPr>
        <w:tc>
          <w:tcPr>
            <w:tcW w:w="22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613BC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FDFA5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3C0AA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FD5D92" w:rsidRPr="00FD5D92" w14:paraId="6AD75C22" w14:textId="77777777" w:rsidTr="00FD5D92">
        <w:trPr>
          <w:trHeight w:val="20"/>
        </w:trPr>
        <w:tc>
          <w:tcPr>
            <w:tcW w:w="22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69087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362A2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BC7A7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73399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35DEE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D5D92" w:rsidRPr="00FD5D92" w14:paraId="08932B8C" w14:textId="77777777" w:rsidTr="00FD5D92">
        <w:trPr>
          <w:trHeight w:val="20"/>
        </w:trPr>
        <w:tc>
          <w:tcPr>
            <w:tcW w:w="2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C60B4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6823A" w14:textId="45F3B6B7" w:rsidR="00FD5D92" w:rsidRPr="00FD5D92" w:rsidRDefault="00FD5D92" w:rsidP="00FD5D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EC4AF" w14:textId="7C7670F5" w:rsidR="00FD5D92" w:rsidRPr="00FD5D92" w:rsidRDefault="00FD5D92" w:rsidP="00FD5D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C50B5" w14:textId="544BF115" w:rsidR="00FD5D92" w:rsidRPr="00FD5D92" w:rsidRDefault="00FD5D92" w:rsidP="00FD5D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1,952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0EF24" w14:textId="3D9F07E1" w:rsidR="00FD5D92" w:rsidRPr="00FD5D92" w:rsidRDefault="00FD5D92" w:rsidP="00FD5D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1,952 </w:t>
            </w:r>
          </w:p>
        </w:tc>
      </w:tr>
      <w:tr w:rsidR="00FD5D92" w:rsidRPr="00FD5D92" w14:paraId="383B19D1" w14:textId="77777777" w:rsidTr="00FD5D92">
        <w:trPr>
          <w:trHeight w:val="20"/>
        </w:trPr>
        <w:tc>
          <w:tcPr>
            <w:tcW w:w="2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A49E4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173DC" w14:textId="195AF236" w:rsidR="00FD5D92" w:rsidRPr="00FD5D92" w:rsidRDefault="00FD5D92" w:rsidP="00FD5D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6BC6E" w14:textId="59ACE0BA" w:rsidR="00FD5D92" w:rsidRPr="00FD5D92" w:rsidRDefault="00FD5D92" w:rsidP="00FD5D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78507" w14:textId="0981FF77" w:rsidR="00FD5D92" w:rsidRPr="00FD5D92" w:rsidRDefault="00FD5D92" w:rsidP="00FD5D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1,952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738CE" w14:textId="1A3FF207" w:rsidR="00FD5D92" w:rsidRPr="00FD5D92" w:rsidRDefault="00FD5D92" w:rsidP="00FD5D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1,952 </w:t>
            </w:r>
          </w:p>
        </w:tc>
      </w:tr>
      <w:tr w:rsidR="00FD5D92" w:rsidRPr="00FD5D92" w14:paraId="3175AB45" w14:textId="77777777" w:rsidTr="00FD5D92">
        <w:trPr>
          <w:trHeight w:val="20"/>
        </w:trPr>
        <w:tc>
          <w:tcPr>
            <w:tcW w:w="2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A3EBE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5D45D" w14:textId="12A0DB7A" w:rsidR="00FD5D92" w:rsidRPr="00FD5D92" w:rsidRDefault="00FD5D92" w:rsidP="00FD5D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0EFB9" w14:textId="2DE3AAC6" w:rsidR="00FD5D92" w:rsidRPr="00FD5D92" w:rsidRDefault="00FD5D92" w:rsidP="00FD5D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92A1B" w14:textId="428B3083" w:rsidR="00FD5D92" w:rsidRPr="00FD5D92" w:rsidRDefault="00FD5D92" w:rsidP="00FD5D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1,952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1137F" w14:textId="5624D247" w:rsidR="00FD5D92" w:rsidRPr="00FD5D92" w:rsidRDefault="00FD5D92" w:rsidP="00FD5D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1,952 </w:t>
            </w:r>
          </w:p>
        </w:tc>
      </w:tr>
      <w:tr w:rsidR="00FD5D92" w:rsidRPr="00FD5D92" w14:paraId="7DFAB0D8" w14:textId="77777777" w:rsidTr="00FD5D92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833C6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6E984" w14:textId="77777777" w:rsidR="00FD5D92" w:rsidRPr="00FD5D92" w:rsidRDefault="00FD5D92" w:rsidP="00FD5D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94016" w14:textId="422B0F09" w:rsidR="00FD5D92" w:rsidRPr="00FD5D92" w:rsidRDefault="00FD5D92" w:rsidP="00FD5D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C66FE" w14:textId="1B728198" w:rsidR="00FD5D92" w:rsidRPr="00FD5D92" w:rsidRDefault="00FD5D92" w:rsidP="00FD5D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7FC16" w14:textId="76B91720" w:rsidR="00FD5D92" w:rsidRPr="00FD5D92" w:rsidRDefault="00FD5D92" w:rsidP="00FD5D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1,952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E9B5B" w14:textId="33893D0D" w:rsidR="00FD5D92" w:rsidRPr="00FD5D92" w:rsidRDefault="00FD5D92" w:rsidP="00FD5D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5D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1,952 </w:t>
            </w:r>
          </w:p>
        </w:tc>
      </w:tr>
    </w:tbl>
    <w:p w14:paraId="22D2AEA6" w14:textId="77777777" w:rsidR="00FD5D92" w:rsidRPr="00D748B7" w:rsidRDefault="00FD5D92" w:rsidP="00FD5D92">
      <w:pPr>
        <w:spacing w:after="0" w:line="240" w:lineRule="auto"/>
        <w:ind w:right="27" w:firstLine="99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FD5D92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4E698750" w14:textId="57A6B30B" w:rsidR="00FD5D92" w:rsidRPr="00FD5D92" w:rsidRDefault="00FD5D92" w:rsidP="00FD5D9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>Source: DSWD-FOs VI</w:t>
      </w:r>
    </w:p>
    <w:p w14:paraId="0CD2F132" w14:textId="0FBE1D08" w:rsidR="00263136" w:rsidRPr="00E042EF" w:rsidRDefault="00263136" w:rsidP="00B30B91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16"/>
        </w:rPr>
      </w:pPr>
    </w:p>
    <w:p w14:paraId="0765B7F9" w14:textId="6F546FA8" w:rsidR="00443495" w:rsidRPr="004208E9" w:rsidRDefault="00443495" w:rsidP="00D43CF7">
      <w:pPr>
        <w:pStyle w:val="NoSpacing"/>
        <w:numPr>
          <w:ilvl w:val="0"/>
          <w:numId w:val="14"/>
        </w:numPr>
        <w:ind w:left="709" w:hanging="709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4F494865" w14:textId="763684CE" w:rsidR="00C45EB2" w:rsidRPr="00C45EB2" w:rsidRDefault="00C45EB2" w:rsidP="0032537A">
      <w:pPr>
        <w:pStyle w:val="NoSpacing"/>
        <w:contextualSpacing/>
        <w:rPr>
          <w:rFonts w:ascii="Arial" w:hAnsi="Arial" w:cs="Arial"/>
          <w:i/>
          <w:color w:val="0070C0"/>
          <w:sz w:val="16"/>
          <w:szCs w:val="24"/>
        </w:rPr>
      </w:pPr>
    </w:p>
    <w:p w14:paraId="1797F7D7" w14:textId="6D497BE8" w:rsidR="00CC03C0" w:rsidRDefault="00CC03C0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Standby Funds and Prepositioned Relied Stockpile</w:t>
      </w:r>
    </w:p>
    <w:p w14:paraId="37235F2E" w14:textId="77777777" w:rsidR="00CC03C0" w:rsidRDefault="00CC03C0" w:rsidP="00CC03C0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570" w:type="pct"/>
        <w:tblInd w:w="836" w:type="dxa"/>
        <w:tblLook w:val="04A0" w:firstRow="1" w:lastRow="0" w:firstColumn="1" w:lastColumn="0" w:noHBand="0" w:noVBand="1"/>
      </w:tblPr>
      <w:tblGrid>
        <w:gridCol w:w="1416"/>
        <w:gridCol w:w="1419"/>
        <w:gridCol w:w="1133"/>
        <w:gridCol w:w="1419"/>
        <w:gridCol w:w="1700"/>
        <w:gridCol w:w="1794"/>
      </w:tblGrid>
      <w:tr w:rsidR="00CC03C0" w:rsidRPr="00CC03C0" w14:paraId="1392ECE3" w14:textId="77777777" w:rsidTr="00CC03C0">
        <w:trPr>
          <w:trHeight w:val="20"/>
        </w:trPr>
        <w:tc>
          <w:tcPr>
            <w:tcW w:w="797" w:type="pct"/>
            <w:vMerge w:val="restart"/>
            <w:tcBorders>
              <w:top w:val="single" w:sz="8" w:space="0" w:color="000000"/>
              <w:left w:val="single" w:sz="12" w:space="0" w:color="FF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2B5D8FDB" w14:textId="77777777" w:rsidR="00CC03C0" w:rsidRPr="00CC03C0" w:rsidRDefault="00CC03C0" w:rsidP="00CC03C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C03C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79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3F649602" w14:textId="77777777" w:rsidR="00CC03C0" w:rsidRPr="00CC03C0" w:rsidRDefault="00CC03C0" w:rsidP="00CC03C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C03C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39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7B7B7"/>
            <w:vAlign w:val="center"/>
            <w:hideMark/>
          </w:tcPr>
          <w:p w14:paraId="10DB8F37" w14:textId="77777777" w:rsidR="00CC03C0" w:rsidRPr="00CC03C0" w:rsidRDefault="00CC03C0" w:rsidP="00CC03C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C03C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</w:p>
        </w:tc>
        <w:tc>
          <w:tcPr>
            <w:tcW w:w="101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FF0000"/>
            </w:tcBorders>
            <w:shd w:val="clear" w:color="000000" w:fill="B7B7B7"/>
            <w:vAlign w:val="center"/>
            <w:hideMark/>
          </w:tcPr>
          <w:p w14:paraId="5211E534" w14:textId="77777777" w:rsidR="00CC03C0" w:rsidRPr="00CC03C0" w:rsidRDefault="00CC03C0" w:rsidP="00CC03C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C03C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CC03C0" w:rsidRPr="00CC03C0" w14:paraId="0104C73D" w14:textId="77777777" w:rsidTr="00CC03C0">
        <w:trPr>
          <w:trHeight w:val="20"/>
        </w:trPr>
        <w:tc>
          <w:tcPr>
            <w:tcW w:w="797" w:type="pct"/>
            <w:vMerge/>
            <w:tcBorders>
              <w:top w:val="single" w:sz="8" w:space="0" w:color="000000"/>
              <w:left w:val="single" w:sz="12" w:space="0" w:color="FF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9670A6" w14:textId="77777777" w:rsidR="00CC03C0" w:rsidRPr="00CC03C0" w:rsidRDefault="00CC03C0" w:rsidP="00CC03C0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7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C3BE9" w14:textId="77777777" w:rsidR="00CC03C0" w:rsidRPr="00CC03C0" w:rsidRDefault="00CC03C0" w:rsidP="00CC03C0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3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57434EE8" w14:textId="77777777" w:rsidR="00CC03C0" w:rsidRPr="00CC03C0" w:rsidRDefault="00CC03C0" w:rsidP="00CC03C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C03C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FAMILY FOOD PACKS</w:t>
            </w:r>
          </w:p>
        </w:tc>
        <w:tc>
          <w:tcPr>
            <w:tcW w:w="95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4C36FE63" w14:textId="77777777" w:rsidR="00CC03C0" w:rsidRPr="00CC03C0" w:rsidRDefault="00CC03C0" w:rsidP="00CC03C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C03C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10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FF0000"/>
            </w:tcBorders>
            <w:vAlign w:val="center"/>
            <w:hideMark/>
          </w:tcPr>
          <w:p w14:paraId="74C9E937" w14:textId="77777777" w:rsidR="00CC03C0" w:rsidRPr="00CC03C0" w:rsidRDefault="00CC03C0" w:rsidP="00CC03C0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CC03C0" w:rsidRPr="00CC03C0" w14:paraId="66A878C5" w14:textId="77777777" w:rsidTr="00CC03C0">
        <w:trPr>
          <w:trHeight w:val="20"/>
        </w:trPr>
        <w:tc>
          <w:tcPr>
            <w:tcW w:w="797" w:type="pct"/>
            <w:vMerge/>
            <w:tcBorders>
              <w:top w:val="single" w:sz="8" w:space="0" w:color="000000"/>
              <w:left w:val="single" w:sz="12" w:space="0" w:color="FF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5C2423" w14:textId="77777777" w:rsidR="00CC03C0" w:rsidRPr="00CC03C0" w:rsidRDefault="00CC03C0" w:rsidP="00CC03C0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7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E3164C" w14:textId="77777777" w:rsidR="00CC03C0" w:rsidRPr="00CC03C0" w:rsidRDefault="00CC03C0" w:rsidP="00CC03C0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3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2EDB672C" w14:textId="77777777" w:rsidR="00CC03C0" w:rsidRPr="00CC03C0" w:rsidRDefault="00CC03C0" w:rsidP="00CC03C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C03C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QUANTITY</w:t>
            </w:r>
          </w:p>
        </w:tc>
        <w:tc>
          <w:tcPr>
            <w:tcW w:w="79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3211C11A" w14:textId="77777777" w:rsidR="00CC03C0" w:rsidRPr="00CC03C0" w:rsidRDefault="00CC03C0" w:rsidP="00CC03C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C03C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95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29CC2C" w14:textId="77777777" w:rsidR="00CC03C0" w:rsidRPr="00CC03C0" w:rsidRDefault="00CC03C0" w:rsidP="00CC03C0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0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FF0000"/>
            </w:tcBorders>
            <w:vAlign w:val="center"/>
            <w:hideMark/>
          </w:tcPr>
          <w:p w14:paraId="548AA9FF" w14:textId="77777777" w:rsidR="00CC03C0" w:rsidRPr="00CC03C0" w:rsidRDefault="00CC03C0" w:rsidP="00CC03C0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CC03C0" w:rsidRPr="00CC03C0" w14:paraId="6FB42F07" w14:textId="77777777" w:rsidTr="00CC03C0">
        <w:trPr>
          <w:trHeight w:val="20"/>
        </w:trPr>
        <w:tc>
          <w:tcPr>
            <w:tcW w:w="797" w:type="pct"/>
            <w:tcBorders>
              <w:top w:val="single" w:sz="8" w:space="0" w:color="CCCCCC"/>
              <w:left w:val="single" w:sz="12" w:space="0" w:color="FF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682E154D" w14:textId="77777777" w:rsidR="00CC03C0" w:rsidRPr="00CC03C0" w:rsidRDefault="00CC03C0" w:rsidP="00CC03C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C03C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79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4AF40EDA" w14:textId="77777777" w:rsidR="00CC03C0" w:rsidRPr="00CC03C0" w:rsidRDefault="00CC03C0" w:rsidP="00CC03C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C03C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434,035,329.73</w:t>
            </w:r>
          </w:p>
        </w:tc>
        <w:tc>
          <w:tcPr>
            <w:tcW w:w="63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0FEA9FE8" w14:textId="77777777" w:rsidR="00CC03C0" w:rsidRPr="00CC03C0" w:rsidRDefault="00CC03C0" w:rsidP="00CC03C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C03C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364,317</w:t>
            </w:r>
          </w:p>
        </w:tc>
        <w:tc>
          <w:tcPr>
            <w:tcW w:w="79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37055189" w14:textId="77777777" w:rsidR="00CC03C0" w:rsidRPr="00CC03C0" w:rsidRDefault="00CC03C0" w:rsidP="00CC03C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C03C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208,582,836.93</w:t>
            </w:r>
          </w:p>
        </w:tc>
        <w:tc>
          <w:tcPr>
            <w:tcW w:w="9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6215CED5" w14:textId="77777777" w:rsidR="00CC03C0" w:rsidRPr="00CC03C0" w:rsidRDefault="00CC03C0" w:rsidP="00CC03C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C03C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662,008,231.80</w:t>
            </w:r>
          </w:p>
        </w:tc>
        <w:tc>
          <w:tcPr>
            <w:tcW w:w="10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FF0000"/>
            </w:tcBorders>
            <w:shd w:val="clear" w:color="000000" w:fill="EFEFEF"/>
            <w:vAlign w:val="center"/>
            <w:hideMark/>
          </w:tcPr>
          <w:p w14:paraId="79ACA7F4" w14:textId="77777777" w:rsidR="00CC03C0" w:rsidRPr="00CC03C0" w:rsidRDefault="00CC03C0" w:rsidP="00CC03C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C03C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1,304,626,398.46</w:t>
            </w:r>
          </w:p>
        </w:tc>
      </w:tr>
      <w:tr w:rsidR="00CC03C0" w:rsidRPr="00CC03C0" w14:paraId="51C2366B" w14:textId="77777777" w:rsidTr="00CC03C0">
        <w:trPr>
          <w:trHeight w:val="20"/>
        </w:trPr>
        <w:tc>
          <w:tcPr>
            <w:tcW w:w="797" w:type="pct"/>
            <w:tcBorders>
              <w:top w:val="single" w:sz="8" w:space="0" w:color="CCCCCC"/>
              <w:left w:val="single" w:sz="12" w:space="0" w:color="FF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D1541" w14:textId="77777777" w:rsidR="00CC03C0" w:rsidRPr="00CC03C0" w:rsidRDefault="00CC03C0" w:rsidP="00CC03C0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CC03C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 VI</w:t>
            </w:r>
          </w:p>
        </w:tc>
        <w:tc>
          <w:tcPr>
            <w:tcW w:w="79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5463D" w14:textId="77777777" w:rsidR="00CC03C0" w:rsidRPr="00CC03C0" w:rsidRDefault="00CC03C0" w:rsidP="00CC03C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CC03C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5,518,196.42</w:t>
            </w:r>
          </w:p>
        </w:tc>
        <w:tc>
          <w:tcPr>
            <w:tcW w:w="63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47418" w14:textId="77777777" w:rsidR="00CC03C0" w:rsidRPr="00CC03C0" w:rsidRDefault="00CC03C0" w:rsidP="00CC03C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CC03C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16,478</w:t>
            </w:r>
          </w:p>
        </w:tc>
        <w:tc>
          <w:tcPr>
            <w:tcW w:w="79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67FB3" w14:textId="77777777" w:rsidR="00CC03C0" w:rsidRPr="00CC03C0" w:rsidRDefault="00CC03C0" w:rsidP="00CC03C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CC03C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5,511,853.56</w:t>
            </w:r>
          </w:p>
        </w:tc>
        <w:tc>
          <w:tcPr>
            <w:tcW w:w="9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E0511" w14:textId="77777777" w:rsidR="00CC03C0" w:rsidRPr="00CC03C0" w:rsidRDefault="00CC03C0" w:rsidP="00CC03C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CC03C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26,667,442.70</w:t>
            </w:r>
          </w:p>
        </w:tc>
        <w:tc>
          <w:tcPr>
            <w:tcW w:w="10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FF0000"/>
            </w:tcBorders>
            <w:shd w:val="clear" w:color="auto" w:fill="auto"/>
            <w:vAlign w:val="center"/>
            <w:hideMark/>
          </w:tcPr>
          <w:p w14:paraId="0F552D94" w14:textId="77777777" w:rsidR="00CC03C0" w:rsidRPr="00CC03C0" w:rsidRDefault="00CC03C0" w:rsidP="00CC03C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CC03C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37,697,492.68</w:t>
            </w:r>
          </w:p>
        </w:tc>
      </w:tr>
      <w:tr w:rsidR="00CC03C0" w:rsidRPr="00CC03C0" w14:paraId="17B8A36B" w14:textId="77777777" w:rsidTr="00CC03C0">
        <w:trPr>
          <w:trHeight w:val="20"/>
        </w:trPr>
        <w:tc>
          <w:tcPr>
            <w:tcW w:w="797" w:type="pct"/>
            <w:tcBorders>
              <w:top w:val="single" w:sz="8" w:space="0" w:color="CCCCCC"/>
              <w:left w:val="single" w:sz="12" w:space="0" w:color="FF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E94CB" w14:textId="77777777" w:rsidR="00CC03C0" w:rsidRPr="00CC03C0" w:rsidRDefault="00CC03C0" w:rsidP="00CC03C0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CC03C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 XI</w:t>
            </w:r>
          </w:p>
        </w:tc>
        <w:tc>
          <w:tcPr>
            <w:tcW w:w="79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EF522" w14:textId="77777777" w:rsidR="00CC03C0" w:rsidRPr="00CC03C0" w:rsidRDefault="00CC03C0" w:rsidP="00CC03C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CC03C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3,000,000.00</w:t>
            </w:r>
          </w:p>
        </w:tc>
        <w:tc>
          <w:tcPr>
            <w:tcW w:w="63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ED478" w14:textId="77777777" w:rsidR="00CC03C0" w:rsidRPr="00CC03C0" w:rsidRDefault="00CC03C0" w:rsidP="00CC03C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CC03C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13,214</w:t>
            </w:r>
          </w:p>
        </w:tc>
        <w:tc>
          <w:tcPr>
            <w:tcW w:w="79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9E57E" w14:textId="77777777" w:rsidR="00CC03C0" w:rsidRPr="00CC03C0" w:rsidRDefault="00CC03C0" w:rsidP="00CC03C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CC03C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6,985,119.70</w:t>
            </w:r>
          </w:p>
        </w:tc>
        <w:tc>
          <w:tcPr>
            <w:tcW w:w="95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6142D" w14:textId="77777777" w:rsidR="00CC03C0" w:rsidRPr="00CC03C0" w:rsidRDefault="00CC03C0" w:rsidP="00CC03C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CC03C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25,299,905.30</w:t>
            </w:r>
          </w:p>
        </w:tc>
        <w:tc>
          <w:tcPr>
            <w:tcW w:w="101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FF0000"/>
            </w:tcBorders>
            <w:shd w:val="clear" w:color="auto" w:fill="auto"/>
            <w:vAlign w:val="center"/>
            <w:hideMark/>
          </w:tcPr>
          <w:p w14:paraId="1C30D06D" w14:textId="77777777" w:rsidR="00CC03C0" w:rsidRPr="00CC03C0" w:rsidRDefault="00CC03C0" w:rsidP="00CC03C0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CC03C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35,285,025.00</w:t>
            </w:r>
          </w:p>
        </w:tc>
      </w:tr>
    </w:tbl>
    <w:p w14:paraId="1CFDEB4E" w14:textId="11071191" w:rsidR="00CC03C0" w:rsidRDefault="00CC03C0" w:rsidP="00CC03C0">
      <w:pPr>
        <w:pStyle w:val="NoSpacing"/>
        <w:ind w:left="5529"/>
        <w:contextualSpacing/>
        <w:jc w:val="both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Note: Inventory Summary is as of 2</w:t>
      </w:r>
      <w:r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4</w:t>
      </w:r>
      <w:r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 xml:space="preserve"> September 2021, </w:t>
      </w:r>
      <w:r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4PM</w:t>
      </w:r>
    </w:p>
    <w:p w14:paraId="66B3DEE6" w14:textId="77777777" w:rsidR="00CC03C0" w:rsidRPr="00CC03C0" w:rsidRDefault="00CC03C0" w:rsidP="00CC03C0">
      <w:pPr>
        <w:shd w:val="clear" w:color="auto" w:fill="FFFFFF"/>
        <w:spacing w:before="100" w:beforeAutospacing="1" w:after="100" w:afterAutospacing="1" w:line="240" w:lineRule="auto"/>
        <w:ind w:left="993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CC03C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>1.</w:t>
      </w:r>
      <w:r w:rsidRPr="00CC03C0">
        <w:rPr>
          <w:rFonts w:ascii="Times New Roman" w:eastAsia="Times New Roman" w:hAnsi="Times New Roman" w:cs="Times New Roman"/>
          <w:color w:val="222222"/>
          <w:sz w:val="14"/>
          <w:szCs w:val="14"/>
          <w:lang w:eastAsia="en-PH"/>
        </w:rPr>
        <w:t>    </w:t>
      </w:r>
      <w:r w:rsidRPr="00CC03C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>Standby Funds</w:t>
      </w:r>
    </w:p>
    <w:p w14:paraId="051CD5EE" w14:textId="77777777" w:rsidR="00CC03C0" w:rsidRPr="00CC03C0" w:rsidRDefault="00CC03C0" w:rsidP="00CC03C0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CC03C0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DSWD Field Office 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V</w:t>
      </w:r>
      <w:r w:rsidRPr="00CC03C0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I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Pr="00CC03C0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has standby funds worth ₱5,518,196.42</w:t>
      </w:r>
    </w:p>
    <w:p w14:paraId="1D7B12AC" w14:textId="5824755A" w:rsidR="00CC03C0" w:rsidRDefault="00CC03C0" w:rsidP="00CC03C0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CC03C0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DSWD Field Office XI has standby funds worth ₱3,000,000.00.</w:t>
      </w:r>
    </w:p>
    <w:p w14:paraId="6DDF8B53" w14:textId="4FA9111E" w:rsidR="00CC03C0" w:rsidRPr="00CC03C0" w:rsidRDefault="00CC03C0" w:rsidP="00CC03C0">
      <w:pPr>
        <w:shd w:val="clear" w:color="auto" w:fill="FFFFFF"/>
        <w:spacing w:before="100" w:beforeAutospacing="1" w:after="100" w:afterAutospacing="1" w:line="240" w:lineRule="auto"/>
        <w:ind w:left="993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CC03C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>2.</w:t>
      </w:r>
      <w:r w:rsidRPr="00CC03C0">
        <w:rPr>
          <w:rFonts w:ascii="Times New Roman" w:eastAsia="Times New Roman" w:hAnsi="Times New Roman" w:cs="Times New Roman"/>
          <w:color w:val="222222"/>
          <w:sz w:val="14"/>
          <w:szCs w:val="14"/>
          <w:lang w:eastAsia="en-PH"/>
        </w:rPr>
        <w:t>    </w:t>
      </w:r>
      <w:r w:rsidRPr="00CC03C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>Prepositioned FFPs and Other Relief Items</w:t>
      </w:r>
    </w:p>
    <w:p w14:paraId="33F0E7DD" w14:textId="5E714767" w:rsidR="00CC03C0" w:rsidRDefault="00CC03C0" w:rsidP="00CC03C0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CC03C0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DSWD Field Office 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V</w:t>
      </w:r>
      <w:r w:rsidRPr="00CC03C0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I has 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a</w:t>
      </w:r>
      <w:r w:rsidRPr="00CC03C0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total of 16,478 family food packs (FFPs) are available amounting to</w:t>
      </w:r>
      <w:r w:rsidRPr="00CC03C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> </w:t>
      </w:r>
      <w:r w:rsidRPr="00CC03C0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₱5,511,853.56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and </w:t>
      </w:r>
      <w:r w:rsidRPr="00CC03C0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food items for non-food</w:t>
      </w:r>
      <w:r w:rsidRPr="00CC03C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> </w:t>
      </w:r>
      <w:r w:rsidRPr="00CC03C0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items (FNIs) worth ₱26,667,442.70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Pr="00CC03C0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are available.</w:t>
      </w:r>
    </w:p>
    <w:p w14:paraId="73AC18F5" w14:textId="3F3B1B42" w:rsidR="00CC03C0" w:rsidRPr="00CC03C0" w:rsidRDefault="00CC03C0" w:rsidP="00CC03C0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CC03C0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DSWD Field Office 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X</w:t>
      </w:r>
      <w:r w:rsidRPr="00CC03C0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I has 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a</w:t>
      </w:r>
      <w:r w:rsidRPr="00CC03C0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total of </w:t>
      </w:r>
      <w:r w:rsidRPr="00CC03C0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13,214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Pr="00CC03C0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family food packs (FFPs) are available amounting to</w:t>
      </w:r>
      <w:r w:rsidRPr="00CC03C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> </w:t>
      </w:r>
      <w:r w:rsidRPr="00CC03C0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₱</w:t>
      </w:r>
      <w:r w:rsidRPr="00CC03C0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6,985,119.70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and </w:t>
      </w:r>
      <w:r w:rsidRPr="00CC03C0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food items for non-food</w:t>
      </w:r>
      <w:r w:rsidRPr="00CC03C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> </w:t>
      </w:r>
      <w:r w:rsidRPr="00CC03C0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items (FNIs) worth ₱</w:t>
      </w:r>
      <w:r w:rsidRPr="00CC03C0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25,299,905.30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Pr="00CC03C0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are available.</w:t>
      </w:r>
    </w:p>
    <w:p w14:paraId="4A279C04" w14:textId="46329153" w:rsidR="00443495" w:rsidRPr="000C753A" w:rsidRDefault="002C1DBE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Other Activities</w:t>
      </w:r>
    </w:p>
    <w:p w14:paraId="41ACDE0C" w14:textId="4ED517CB" w:rsidR="002C1DBE" w:rsidRPr="002C1DBE" w:rsidRDefault="002C1DBE" w:rsidP="0032537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9DE6C3E" w14:textId="77777777" w:rsidR="00FD5D92" w:rsidRPr="0032537A" w:rsidRDefault="00D43730" w:rsidP="0032537A">
      <w:pPr>
        <w:spacing w:after="0" w:line="240" w:lineRule="auto"/>
        <w:ind w:left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537A">
        <w:rPr>
          <w:rFonts w:ascii="Arial" w:hAnsi="Arial" w:cs="Arial"/>
          <w:b/>
          <w:sz w:val="24"/>
          <w:szCs w:val="24"/>
        </w:rPr>
        <w:t xml:space="preserve">DSWD-FO </w:t>
      </w:r>
      <w:r w:rsidR="00A33CB3" w:rsidRPr="0032537A">
        <w:rPr>
          <w:rFonts w:ascii="Arial" w:hAnsi="Arial" w:cs="Arial"/>
          <w:b/>
          <w:sz w:val="24"/>
          <w:szCs w:val="24"/>
        </w:rPr>
        <w:t xml:space="preserve">XI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546"/>
        <w:gridCol w:w="6340"/>
      </w:tblGrid>
      <w:tr w:rsidR="00FD5D92" w14:paraId="268310B9" w14:textId="77777777" w:rsidTr="00FD5D92">
        <w:tc>
          <w:tcPr>
            <w:tcW w:w="2546" w:type="dxa"/>
          </w:tcPr>
          <w:p w14:paraId="35598D05" w14:textId="72F610DB" w:rsidR="00FD5D92" w:rsidRPr="00FD5D92" w:rsidRDefault="00FD5D92" w:rsidP="0032537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D9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340" w:type="dxa"/>
          </w:tcPr>
          <w:p w14:paraId="4783CE02" w14:textId="497B3EEF" w:rsidR="00FD5D92" w:rsidRPr="00FD5D92" w:rsidRDefault="00FD5D92" w:rsidP="0032537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D92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</w:tr>
      <w:tr w:rsidR="00FD5D92" w14:paraId="5AC0B8FA" w14:textId="77777777" w:rsidTr="00FD5D92">
        <w:tc>
          <w:tcPr>
            <w:tcW w:w="2546" w:type="dxa"/>
            <w:vAlign w:val="center"/>
          </w:tcPr>
          <w:p w14:paraId="0D255590" w14:textId="5E1796F8" w:rsidR="00FD5D92" w:rsidRPr="00FD5D92" w:rsidRDefault="00FD5D92" w:rsidP="0032537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D5D92">
              <w:rPr>
                <w:rFonts w:ascii="Arial" w:hAnsi="Arial" w:cs="Arial"/>
                <w:sz w:val="20"/>
                <w:szCs w:val="24"/>
              </w:rPr>
              <w:t>22 September 2021</w:t>
            </w:r>
          </w:p>
        </w:tc>
        <w:tc>
          <w:tcPr>
            <w:tcW w:w="6340" w:type="dxa"/>
          </w:tcPr>
          <w:p w14:paraId="6C502C4F" w14:textId="3073350D" w:rsidR="00FD5D92" w:rsidRPr="00FD5D92" w:rsidRDefault="00FD5D92" w:rsidP="0032537A">
            <w:pPr>
              <w:pStyle w:val="ListParagraph"/>
              <w:numPr>
                <w:ilvl w:val="0"/>
                <w:numId w:val="41"/>
              </w:numPr>
              <w:ind w:left="31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D5D92">
              <w:rPr>
                <w:rFonts w:ascii="Arial" w:hAnsi="Arial" w:cs="Arial"/>
                <w:sz w:val="20"/>
                <w:szCs w:val="24"/>
              </w:rPr>
              <w:t>DSWD – FO XI is continuously coordinating with the affected LGUs for possible augmentation support needed by the affected families.</w:t>
            </w:r>
          </w:p>
        </w:tc>
      </w:tr>
    </w:tbl>
    <w:p w14:paraId="36855831" w14:textId="677C5EDB" w:rsidR="00822BD6" w:rsidRPr="0032537A" w:rsidRDefault="00822BD6" w:rsidP="0032537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01CE78A" w14:textId="2C3328BF" w:rsidR="00FD5D92" w:rsidRPr="0032537A" w:rsidRDefault="00FD5D92" w:rsidP="0032537A">
      <w:pPr>
        <w:spacing w:after="0" w:line="240" w:lineRule="auto"/>
        <w:ind w:left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537A">
        <w:rPr>
          <w:rFonts w:ascii="Arial" w:hAnsi="Arial" w:cs="Arial"/>
          <w:b/>
          <w:sz w:val="24"/>
          <w:szCs w:val="24"/>
        </w:rPr>
        <w:t xml:space="preserve">DSWD-FO VI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546"/>
        <w:gridCol w:w="6340"/>
      </w:tblGrid>
      <w:tr w:rsidR="00FD5D92" w14:paraId="6BEBFDE8" w14:textId="77777777" w:rsidTr="00DF4413">
        <w:tc>
          <w:tcPr>
            <w:tcW w:w="2546" w:type="dxa"/>
          </w:tcPr>
          <w:p w14:paraId="1FEB7C1E" w14:textId="77777777" w:rsidR="00FD5D92" w:rsidRPr="00FD5D92" w:rsidRDefault="00FD5D92" w:rsidP="0032537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D9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340" w:type="dxa"/>
          </w:tcPr>
          <w:p w14:paraId="28053C6E" w14:textId="77777777" w:rsidR="00FD5D92" w:rsidRPr="00FD5D92" w:rsidRDefault="00FD5D92" w:rsidP="0032537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D92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</w:tr>
      <w:tr w:rsidR="00FD5D92" w14:paraId="3861DB5A" w14:textId="77777777" w:rsidTr="00DF4413">
        <w:tc>
          <w:tcPr>
            <w:tcW w:w="2546" w:type="dxa"/>
            <w:vAlign w:val="center"/>
          </w:tcPr>
          <w:p w14:paraId="5778A517" w14:textId="600AE100" w:rsidR="00FD5D92" w:rsidRPr="00FD5D92" w:rsidRDefault="00FD5D92" w:rsidP="0032537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D5D92">
              <w:rPr>
                <w:rFonts w:ascii="Arial" w:hAnsi="Arial" w:cs="Arial"/>
                <w:sz w:val="20"/>
                <w:szCs w:val="24"/>
              </w:rPr>
              <w:t>2</w:t>
            </w:r>
            <w:r>
              <w:rPr>
                <w:rFonts w:ascii="Arial" w:hAnsi="Arial" w:cs="Arial"/>
                <w:sz w:val="20"/>
                <w:szCs w:val="24"/>
              </w:rPr>
              <w:t>4</w:t>
            </w:r>
            <w:r w:rsidRPr="00FD5D92"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</w:tc>
        <w:tc>
          <w:tcPr>
            <w:tcW w:w="6340" w:type="dxa"/>
          </w:tcPr>
          <w:p w14:paraId="4A624E47" w14:textId="5E0CF53A" w:rsidR="0032537A" w:rsidRPr="0032537A" w:rsidRDefault="00FD5D92" w:rsidP="0032537A">
            <w:pPr>
              <w:pStyle w:val="ListParagraph"/>
              <w:numPr>
                <w:ilvl w:val="0"/>
                <w:numId w:val="41"/>
              </w:numPr>
              <w:ind w:left="31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D5D92">
              <w:rPr>
                <w:rFonts w:ascii="Arial" w:hAnsi="Arial" w:cs="Arial"/>
                <w:sz w:val="20"/>
                <w:szCs w:val="24"/>
              </w:rPr>
              <w:t xml:space="preserve">DSWD – FO XI is continuously coordinating with the affected LGU </w:t>
            </w:r>
            <w:r w:rsidR="0032537A">
              <w:rPr>
                <w:rFonts w:ascii="Arial" w:hAnsi="Arial" w:cs="Arial"/>
                <w:sz w:val="20"/>
                <w:szCs w:val="24"/>
              </w:rPr>
              <w:t xml:space="preserve">of Concepcion </w:t>
            </w:r>
            <w:r w:rsidRPr="00FD5D92">
              <w:rPr>
                <w:rFonts w:ascii="Arial" w:hAnsi="Arial" w:cs="Arial"/>
                <w:sz w:val="20"/>
                <w:szCs w:val="24"/>
              </w:rPr>
              <w:t>for possible augmentation support needed by the affected families.</w:t>
            </w:r>
          </w:p>
        </w:tc>
      </w:tr>
    </w:tbl>
    <w:p w14:paraId="508555CD" w14:textId="77777777" w:rsidR="00822BD6" w:rsidRPr="002C1DBE" w:rsidRDefault="00822BD6" w:rsidP="00822BD6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16559B5A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</w:t>
      </w:r>
      <w:r w:rsidR="003253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concerned </w:t>
      </w:r>
      <w:r w:rsidR="00EA2CA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</w:t>
      </w:r>
      <w:r w:rsidR="003253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ield </w:t>
      </w:r>
      <w:r w:rsidR="00EA2CA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</w:t>
      </w:r>
      <w:r w:rsidR="003253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ffices</w:t>
      </w:r>
      <w:r w:rsidR="00EA2CA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6202ED9D" w:rsidR="008B67DD" w:rsidRPr="008F6E9B" w:rsidRDefault="00A33CB3" w:rsidP="001056FC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MARIEL B. FERRARIZ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0C18709" w:rsidR="007F2E58" w:rsidRPr="00D23BDC" w:rsidRDefault="00E042EF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A8C26" w14:textId="77777777" w:rsidR="007E1470" w:rsidRDefault="007E1470" w:rsidP="00C12445">
      <w:pPr>
        <w:spacing w:after="0" w:line="240" w:lineRule="auto"/>
      </w:pPr>
      <w:r>
        <w:separator/>
      </w:r>
    </w:p>
  </w:endnote>
  <w:endnote w:type="continuationSeparator" w:id="0">
    <w:p w14:paraId="58DDC2A8" w14:textId="77777777" w:rsidR="007E1470" w:rsidRDefault="007E1470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3EA3B59A" w14:textId="3944AE1B" w:rsidR="00504990" w:rsidRPr="00B30B91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18"/>
                <w:szCs w:val="20"/>
              </w:rPr>
            </w:pPr>
          </w:p>
          <w:p w14:paraId="4F40EEF9" w14:textId="520920BC" w:rsidR="00504990" w:rsidRPr="00114376" w:rsidRDefault="002F1192" w:rsidP="002F1192">
            <w:pPr>
              <w:pStyle w:val="Footer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DSWD DROMIC Report #</w:t>
            </w:r>
            <w:r w:rsidR="0032537A">
              <w:rPr>
                <w:sz w:val="16"/>
                <w:szCs w:val="20"/>
              </w:rPr>
              <w:t xml:space="preserve">2 </w:t>
            </w:r>
            <w:r>
              <w:rPr>
                <w:sz w:val="16"/>
                <w:szCs w:val="20"/>
              </w:rPr>
              <w:t xml:space="preserve">on the </w:t>
            </w:r>
            <w:r w:rsidRPr="002F1192">
              <w:rPr>
                <w:sz w:val="16"/>
                <w:szCs w:val="20"/>
              </w:rPr>
              <w:t>Ef</w:t>
            </w:r>
            <w:r>
              <w:rPr>
                <w:sz w:val="16"/>
                <w:szCs w:val="20"/>
              </w:rPr>
              <w:t xml:space="preserve">fects of LPA with embedded ITCZ </w:t>
            </w:r>
            <w:r w:rsidRPr="002F1192">
              <w:rPr>
                <w:sz w:val="16"/>
                <w:szCs w:val="20"/>
              </w:rPr>
              <w:t>as of 24 September 2021, 6PM</w:t>
            </w:r>
            <w:r w:rsidR="00504990" w:rsidRPr="00114376">
              <w:rPr>
                <w:sz w:val="20"/>
                <w:szCs w:val="20"/>
              </w:rPr>
              <w:t xml:space="preserve">| </w:t>
            </w:r>
            <w:r w:rsidR="00504990" w:rsidRPr="00114376">
              <w:rPr>
                <w:sz w:val="16"/>
                <w:szCs w:val="20"/>
              </w:rPr>
              <w:t xml:space="preserve">Page </w:t>
            </w:r>
            <w:r w:rsidR="00504990" w:rsidRPr="00114376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114376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114376">
              <w:rPr>
                <w:b/>
                <w:bCs/>
                <w:sz w:val="16"/>
                <w:szCs w:val="20"/>
              </w:rPr>
              <w:fldChar w:fldCharType="separate"/>
            </w:r>
            <w:r w:rsidR="00CC03C0">
              <w:rPr>
                <w:b/>
                <w:bCs/>
                <w:noProof/>
                <w:sz w:val="16"/>
                <w:szCs w:val="20"/>
              </w:rPr>
              <w:t>1</w:t>
            </w:r>
            <w:r w:rsidR="00504990" w:rsidRPr="00114376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114376">
              <w:rPr>
                <w:sz w:val="16"/>
                <w:szCs w:val="20"/>
              </w:rPr>
              <w:t xml:space="preserve"> of </w:t>
            </w:r>
            <w:r w:rsidR="00504990" w:rsidRPr="00114376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114376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114376">
              <w:rPr>
                <w:b/>
                <w:bCs/>
                <w:sz w:val="16"/>
                <w:szCs w:val="20"/>
              </w:rPr>
              <w:fldChar w:fldCharType="separate"/>
            </w:r>
            <w:r w:rsidR="00CC03C0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114376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0099B" w14:textId="77777777" w:rsidR="007E1470" w:rsidRDefault="007E1470" w:rsidP="00C12445">
      <w:pPr>
        <w:spacing w:after="0" w:line="240" w:lineRule="auto"/>
      </w:pPr>
      <w:r>
        <w:separator/>
      </w:r>
    </w:p>
  </w:footnote>
  <w:footnote w:type="continuationSeparator" w:id="0">
    <w:p w14:paraId="18E3EB1A" w14:textId="77777777" w:rsidR="007E1470" w:rsidRDefault="007E1470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C24ED0D4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B7FA0"/>
    <w:multiLevelType w:val="hybridMultilevel"/>
    <w:tmpl w:val="D548C1AC"/>
    <w:lvl w:ilvl="0" w:tplc="3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5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B075ABC"/>
    <w:multiLevelType w:val="hybridMultilevel"/>
    <w:tmpl w:val="348AF558"/>
    <w:lvl w:ilvl="0" w:tplc="B1048A0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4B580C"/>
    <w:multiLevelType w:val="hybridMultilevel"/>
    <w:tmpl w:val="1966A03C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595A2246"/>
    <w:multiLevelType w:val="hybridMultilevel"/>
    <w:tmpl w:val="A768B5B6"/>
    <w:lvl w:ilvl="0" w:tplc="8B20F62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126DD"/>
    <w:multiLevelType w:val="hybridMultilevel"/>
    <w:tmpl w:val="2F9CD714"/>
    <w:lvl w:ilvl="0" w:tplc="9CA04D6C">
      <w:start w:val="1"/>
      <w:numFmt w:val="decimal"/>
      <w:lvlText w:val="%1."/>
      <w:lvlJc w:val="left"/>
      <w:pPr>
        <w:ind w:left="1571" w:hanging="360"/>
      </w:pPr>
      <w:rPr>
        <w:b/>
        <w:i w:val="0"/>
        <w:color w:val="auto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9"/>
  </w:num>
  <w:num w:numId="2">
    <w:abstractNumId w:val="16"/>
  </w:num>
  <w:num w:numId="3">
    <w:abstractNumId w:val="2"/>
  </w:num>
  <w:num w:numId="4">
    <w:abstractNumId w:val="33"/>
  </w:num>
  <w:num w:numId="5">
    <w:abstractNumId w:val="24"/>
  </w:num>
  <w:num w:numId="6">
    <w:abstractNumId w:val="12"/>
  </w:num>
  <w:num w:numId="7">
    <w:abstractNumId w:val="12"/>
  </w:num>
  <w:num w:numId="8">
    <w:abstractNumId w:val="4"/>
  </w:num>
  <w:num w:numId="9">
    <w:abstractNumId w:val="21"/>
  </w:num>
  <w:num w:numId="10">
    <w:abstractNumId w:val="0"/>
  </w:num>
  <w:num w:numId="11">
    <w:abstractNumId w:val="25"/>
  </w:num>
  <w:num w:numId="12">
    <w:abstractNumId w:val="22"/>
  </w:num>
  <w:num w:numId="13">
    <w:abstractNumId w:val="37"/>
  </w:num>
  <w:num w:numId="14">
    <w:abstractNumId w:val="28"/>
  </w:num>
  <w:num w:numId="15">
    <w:abstractNumId w:val="11"/>
  </w:num>
  <w:num w:numId="16">
    <w:abstractNumId w:val="35"/>
  </w:num>
  <w:num w:numId="17">
    <w:abstractNumId w:val="7"/>
  </w:num>
  <w:num w:numId="18">
    <w:abstractNumId w:val="27"/>
  </w:num>
  <w:num w:numId="19">
    <w:abstractNumId w:val="17"/>
  </w:num>
  <w:num w:numId="20">
    <w:abstractNumId w:val="8"/>
  </w:num>
  <w:num w:numId="21">
    <w:abstractNumId w:val="10"/>
  </w:num>
  <w:num w:numId="22">
    <w:abstractNumId w:val="36"/>
  </w:num>
  <w:num w:numId="23">
    <w:abstractNumId w:val="34"/>
  </w:num>
  <w:num w:numId="24">
    <w:abstractNumId w:val="6"/>
  </w:num>
  <w:num w:numId="25">
    <w:abstractNumId w:val="9"/>
  </w:num>
  <w:num w:numId="26">
    <w:abstractNumId w:val="1"/>
  </w:num>
  <w:num w:numId="27">
    <w:abstractNumId w:val="38"/>
  </w:num>
  <w:num w:numId="28">
    <w:abstractNumId w:val="3"/>
  </w:num>
  <w:num w:numId="29">
    <w:abstractNumId w:val="39"/>
  </w:num>
  <w:num w:numId="30">
    <w:abstractNumId w:val="20"/>
  </w:num>
  <w:num w:numId="31">
    <w:abstractNumId w:val="19"/>
  </w:num>
  <w:num w:numId="32">
    <w:abstractNumId w:val="13"/>
  </w:num>
  <w:num w:numId="33">
    <w:abstractNumId w:val="26"/>
  </w:num>
  <w:num w:numId="34">
    <w:abstractNumId w:val="30"/>
  </w:num>
  <w:num w:numId="35">
    <w:abstractNumId w:val="31"/>
  </w:num>
  <w:num w:numId="36">
    <w:abstractNumId w:val="23"/>
  </w:num>
  <w:num w:numId="37">
    <w:abstractNumId w:val="15"/>
  </w:num>
  <w:num w:numId="38">
    <w:abstractNumId w:val="5"/>
  </w:num>
  <w:num w:numId="39">
    <w:abstractNumId w:val="18"/>
  </w:num>
  <w:num w:numId="40">
    <w:abstractNumId w:val="40"/>
  </w:num>
  <w:num w:numId="41">
    <w:abstractNumId w:val="1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0D22"/>
    <w:rsid w:val="000F2689"/>
    <w:rsid w:val="000F370D"/>
    <w:rsid w:val="000F490A"/>
    <w:rsid w:val="00105454"/>
    <w:rsid w:val="001056FC"/>
    <w:rsid w:val="00112FC8"/>
    <w:rsid w:val="00114376"/>
    <w:rsid w:val="00120163"/>
    <w:rsid w:val="00143EB4"/>
    <w:rsid w:val="0014677F"/>
    <w:rsid w:val="001523E1"/>
    <w:rsid w:val="001608DC"/>
    <w:rsid w:val="001614ED"/>
    <w:rsid w:val="00167B25"/>
    <w:rsid w:val="001736DF"/>
    <w:rsid w:val="001755FF"/>
    <w:rsid w:val="00176FDC"/>
    <w:rsid w:val="001802EA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3CAB"/>
    <w:rsid w:val="002043C6"/>
    <w:rsid w:val="00221220"/>
    <w:rsid w:val="0022752E"/>
    <w:rsid w:val="00247136"/>
    <w:rsid w:val="0024768B"/>
    <w:rsid w:val="002552BB"/>
    <w:rsid w:val="00261A8B"/>
    <w:rsid w:val="00263136"/>
    <w:rsid w:val="00263FB5"/>
    <w:rsid w:val="002678FF"/>
    <w:rsid w:val="002734DB"/>
    <w:rsid w:val="00274C90"/>
    <w:rsid w:val="00277FAD"/>
    <w:rsid w:val="00281BA5"/>
    <w:rsid w:val="002A06A3"/>
    <w:rsid w:val="002B3899"/>
    <w:rsid w:val="002B518B"/>
    <w:rsid w:val="002C18F8"/>
    <w:rsid w:val="002C1DBE"/>
    <w:rsid w:val="002C5519"/>
    <w:rsid w:val="002C78D2"/>
    <w:rsid w:val="002D2452"/>
    <w:rsid w:val="002D6CE9"/>
    <w:rsid w:val="002E62F8"/>
    <w:rsid w:val="002E760C"/>
    <w:rsid w:val="002F1192"/>
    <w:rsid w:val="002F6987"/>
    <w:rsid w:val="00301EFF"/>
    <w:rsid w:val="0030681F"/>
    <w:rsid w:val="00315FFB"/>
    <w:rsid w:val="00316EB6"/>
    <w:rsid w:val="00321DD9"/>
    <w:rsid w:val="00322D93"/>
    <w:rsid w:val="0032537A"/>
    <w:rsid w:val="003272EC"/>
    <w:rsid w:val="00333C2B"/>
    <w:rsid w:val="00333C40"/>
    <w:rsid w:val="00335843"/>
    <w:rsid w:val="0033640D"/>
    <w:rsid w:val="00336457"/>
    <w:rsid w:val="00340E30"/>
    <w:rsid w:val="00341ED4"/>
    <w:rsid w:val="00347126"/>
    <w:rsid w:val="003672FC"/>
    <w:rsid w:val="0037560F"/>
    <w:rsid w:val="003841E9"/>
    <w:rsid w:val="00394E19"/>
    <w:rsid w:val="003970AF"/>
    <w:rsid w:val="003A07A4"/>
    <w:rsid w:val="003A5991"/>
    <w:rsid w:val="003A7EE4"/>
    <w:rsid w:val="003B171A"/>
    <w:rsid w:val="003B1E6C"/>
    <w:rsid w:val="003B4526"/>
    <w:rsid w:val="003B4CD1"/>
    <w:rsid w:val="003C2F47"/>
    <w:rsid w:val="003C4161"/>
    <w:rsid w:val="003C6E37"/>
    <w:rsid w:val="003D0BA7"/>
    <w:rsid w:val="003E3D36"/>
    <w:rsid w:val="003E5C74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4F52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E61C7"/>
    <w:rsid w:val="004F05DE"/>
    <w:rsid w:val="004F1C80"/>
    <w:rsid w:val="00504990"/>
    <w:rsid w:val="00514354"/>
    <w:rsid w:val="0052239C"/>
    <w:rsid w:val="00524481"/>
    <w:rsid w:val="00532294"/>
    <w:rsid w:val="00532359"/>
    <w:rsid w:val="0053242B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1423"/>
    <w:rsid w:val="00724C56"/>
    <w:rsid w:val="00732FC9"/>
    <w:rsid w:val="007455BA"/>
    <w:rsid w:val="007456CB"/>
    <w:rsid w:val="00751634"/>
    <w:rsid w:val="00757281"/>
    <w:rsid w:val="00766A61"/>
    <w:rsid w:val="00781118"/>
    <w:rsid w:val="007813C1"/>
    <w:rsid w:val="007820C2"/>
    <w:rsid w:val="00787628"/>
    <w:rsid w:val="00791EBD"/>
    <w:rsid w:val="00793475"/>
    <w:rsid w:val="007A45DE"/>
    <w:rsid w:val="007D3400"/>
    <w:rsid w:val="007E1470"/>
    <w:rsid w:val="007E75CF"/>
    <w:rsid w:val="007F2E58"/>
    <w:rsid w:val="007F426E"/>
    <w:rsid w:val="007F4FB1"/>
    <w:rsid w:val="007F5F08"/>
    <w:rsid w:val="0080412B"/>
    <w:rsid w:val="008153ED"/>
    <w:rsid w:val="00822BD6"/>
    <w:rsid w:val="00832FE7"/>
    <w:rsid w:val="00834EF4"/>
    <w:rsid w:val="00842D9E"/>
    <w:rsid w:val="00844A6E"/>
    <w:rsid w:val="0085601D"/>
    <w:rsid w:val="0086226A"/>
    <w:rsid w:val="00863902"/>
    <w:rsid w:val="008740FD"/>
    <w:rsid w:val="0088127C"/>
    <w:rsid w:val="00887547"/>
    <w:rsid w:val="00892479"/>
    <w:rsid w:val="00892D49"/>
    <w:rsid w:val="008939DD"/>
    <w:rsid w:val="008A13CC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05C"/>
    <w:rsid w:val="00994BAA"/>
    <w:rsid w:val="0099537C"/>
    <w:rsid w:val="009A79A0"/>
    <w:rsid w:val="009B6CBE"/>
    <w:rsid w:val="009D1AE9"/>
    <w:rsid w:val="009D60CF"/>
    <w:rsid w:val="00A078CC"/>
    <w:rsid w:val="00A14501"/>
    <w:rsid w:val="00A15EC3"/>
    <w:rsid w:val="00A201C6"/>
    <w:rsid w:val="00A33265"/>
    <w:rsid w:val="00A33CB3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0B91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90702"/>
    <w:rsid w:val="00B93569"/>
    <w:rsid w:val="00BA03D5"/>
    <w:rsid w:val="00BB1173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45EB2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03C0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3730"/>
    <w:rsid w:val="00D43CF7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D7925"/>
    <w:rsid w:val="00E0043D"/>
    <w:rsid w:val="00E042EF"/>
    <w:rsid w:val="00E11797"/>
    <w:rsid w:val="00E14469"/>
    <w:rsid w:val="00E26E07"/>
    <w:rsid w:val="00E368E4"/>
    <w:rsid w:val="00E40D60"/>
    <w:rsid w:val="00E42E8B"/>
    <w:rsid w:val="00E45DBE"/>
    <w:rsid w:val="00E525DD"/>
    <w:rsid w:val="00E60B47"/>
    <w:rsid w:val="00E9409C"/>
    <w:rsid w:val="00E95BF0"/>
    <w:rsid w:val="00E973EE"/>
    <w:rsid w:val="00EA2CAF"/>
    <w:rsid w:val="00EA2F1F"/>
    <w:rsid w:val="00EA7FC5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2055B"/>
    <w:rsid w:val="00F20CBA"/>
    <w:rsid w:val="00F22E05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5D92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2F9CA-81BE-4FC3-8616-9122502E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Mariel B. Ferrariz</cp:lastModifiedBy>
  <cp:revision>3</cp:revision>
  <cp:lastPrinted>2021-07-05T02:11:00Z</cp:lastPrinted>
  <dcterms:created xsi:type="dcterms:W3CDTF">2021-09-24T04:31:00Z</dcterms:created>
  <dcterms:modified xsi:type="dcterms:W3CDTF">2021-09-24T07:52:00Z</dcterms:modified>
</cp:coreProperties>
</file>