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E28" w14:textId="533E1C02" w:rsidR="002F1192" w:rsidRDefault="004E61C7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>DSWD DROMIC Report #</w:t>
      </w:r>
      <w:r w:rsidR="00DE0166">
        <w:rPr>
          <w:rFonts w:ascii="Arial" w:hAnsi="Arial" w:cs="Arial"/>
          <w:b/>
          <w:sz w:val="32"/>
          <w:szCs w:val="32"/>
        </w:rPr>
        <w:t>3</w:t>
      </w:r>
      <w:r w:rsidRPr="004E61C7">
        <w:rPr>
          <w:rFonts w:ascii="Arial" w:hAnsi="Arial" w:cs="Arial"/>
          <w:b/>
          <w:sz w:val="32"/>
          <w:szCs w:val="32"/>
        </w:rPr>
        <w:t xml:space="preserve"> on the </w:t>
      </w:r>
    </w:p>
    <w:p w14:paraId="5F34BF07" w14:textId="5A2D71D7" w:rsidR="004E61C7" w:rsidRDefault="002F119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1192">
        <w:rPr>
          <w:rFonts w:ascii="Arial" w:hAnsi="Arial" w:cs="Arial"/>
          <w:b/>
          <w:sz w:val="32"/>
          <w:szCs w:val="32"/>
        </w:rPr>
        <w:t xml:space="preserve">Effects of LPA embedded </w:t>
      </w:r>
      <w:r w:rsidR="00350B98">
        <w:rPr>
          <w:rFonts w:ascii="Arial" w:hAnsi="Arial" w:cs="Arial"/>
          <w:b/>
          <w:sz w:val="32"/>
          <w:szCs w:val="32"/>
        </w:rPr>
        <w:t xml:space="preserve">along </w:t>
      </w:r>
      <w:r w:rsidRPr="002F1192">
        <w:rPr>
          <w:rFonts w:ascii="Arial" w:hAnsi="Arial" w:cs="Arial"/>
          <w:b/>
          <w:sz w:val="32"/>
          <w:szCs w:val="32"/>
        </w:rPr>
        <w:t>ITCZ</w:t>
      </w:r>
    </w:p>
    <w:p w14:paraId="663B3B84" w14:textId="3525A08C" w:rsidR="00D41206" w:rsidRDefault="00D41206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E61C7">
        <w:rPr>
          <w:rFonts w:ascii="Arial" w:eastAsia="Arial" w:hAnsi="Arial" w:cs="Arial"/>
          <w:sz w:val="24"/>
          <w:szCs w:val="24"/>
        </w:rPr>
        <w:t>2</w:t>
      </w:r>
      <w:r w:rsidR="00DE0166">
        <w:rPr>
          <w:rFonts w:ascii="Arial" w:eastAsia="Arial" w:hAnsi="Arial" w:cs="Arial"/>
          <w:sz w:val="24"/>
          <w:szCs w:val="24"/>
        </w:rPr>
        <w:t>5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77777777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142356F" w14:textId="220B96D1" w:rsidR="004E61C7" w:rsidRPr="00B30B91" w:rsidRDefault="00532294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0B91">
        <w:rPr>
          <w:rFonts w:ascii="Arial" w:hAnsi="Arial" w:cs="Arial"/>
          <w:lang w:val="en-US"/>
        </w:rPr>
        <w:t xml:space="preserve">On 20 September 2021 </w:t>
      </w:r>
      <w:r w:rsidR="00B30B91" w:rsidRPr="00B30B91">
        <w:rPr>
          <w:rFonts w:ascii="Arial" w:hAnsi="Arial" w:cs="Arial"/>
          <w:lang w:val="en-US"/>
        </w:rPr>
        <w:t>the Low Pressure Area (LPA) was</w:t>
      </w:r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 xml:space="preserve">estimated based on all available data at 280 km West of Subic, </w:t>
      </w:r>
      <w:proofErr w:type="spellStart"/>
      <w:r w:rsidR="00B30B91" w:rsidRPr="00B30B91">
        <w:rPr>
          <w:rFonts w:ascii="Arial" w:hAnsi="Arial" w:cs="Arial"/>
          <w:lang w:val="en-US"/>
        </w:rPr>
        <w:t>Zambales</w:t>
      </w:r>
      <w:proofErr w:type="spellEnd"/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>embedded in the Intertropical Convergence</w:t>
      </w:r>
      <w:r w:rsidR="00B30B91">
        <w:rPr>
          <w:rFonts w:ascii="Arial" w:hAnsi="Arial" w:cs="Arial"/>
          <w:lang w:val="en-US"/>
        </w:rPr>
        <w:t xml:space="preserve"> Zone (ITCZ) affecting </w:t>
      </w:r>
      <w:r w:rsidR="002F1192" w:rsidRPr="002F1192">
        <w:rPr>
          <w:rFonts w:ascii="Arial" w:hAnsi="Arial" w:cs="Arial"/>
          <w:lang w:val="en-US"/>
        </w:rPr>
        <w:t xml:space="preserve">MIMAROPA, Western </w:t>
      </w:r>
      <w:proofErr w:type="spellStart"/>
      <w:r w:rsidR="002F1192" w:rsidRPr="002F1192">
        <w:rPr>
          <w:rFonts w:ascii="Arial" w:hAnsi="Arial" w:cs="Arial"/>
          <w:lang w:val="en-US"/>
        </w:rPr>
        <w:t>Visayas</w:t>
      </w:r>
      <w:proofErr w:type="spellEnd"/>
      <w:r w:rsidR="002F1192" w:rsidRPr="002F1192">
        <w:rPr>
          <w:rFonts w:ascii="Arial" w:hAnsi="Arial" w:cs="Arial"/>
          <w:lang w:val="en-US"/>
        </w:rPr>
        <w:t>, Mindanao and Quezon</w:t>
      </w:r>
      <w:r w:rsidR="004E61C7" w:rsidRPr="004E61C7">
        <w:rPr>
          <w:rFonts w:ascii="Arial" w:eastAsia="Arial" w:hAnsi="Arial" w:cs="Arial"/>
          <w:color w:val="000000"/>
        </w:rPr>
        <w:t>.</w:t>
      </w:r>
      <w:r w:rsidR="002F1192">
        <w:rPr>
          <w:rFonts w:ascii="Arial" w:eastAsia="Arial" w:hAnsi="Arial" w:cs="Arial"/>
          <w:color w:val="000000"/>
        </w:rPr>
        <w:tab/>
      </w:r>
    </w:p>
    <w:p w14:paraId="331E47E9" w14:textId="17FE5302" w:rsidR="00E0043D" w:rsidRPr="00AA42FD" w:rsidRDefault="004E61C7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3664F"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2668339" w:rsidR="00FC091D" w:rsidRPr="00D43CF7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17420309" w14:textId="49CB24E1" w:rsidR="00E0043D" w:rsidRPr="00DE0166" w:rsidRDefault="001056FC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DE016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E0166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E0166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E0166">
        <w:rPr>
          <w:rFonts w:ascii="Arial" w:eastAsia="Arial" w:hAnsi="Arial" w:cs="Arial"/>
          <w:b/>
          <w:color w:val="0070C0"/>
          <w:sz w:val="24"/>
          <w:szCs w:val="24"/>
        </w:rPr>
        <w:t>679</w:t>
      </w:r>
      <w:r w:rsidR="00D43CF7" w:rsidRPr="00D43C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DE0166">
        <w:rPr>
          <w:rFonts w:ascii="Arial" w:eastAsia="Arial" w:hAnsi="Arial" w:cs="Arial"/>
          <w:b/>
          <w:bCs/>
          <w:color w:val="0070C0"/>
          <w:sz w:val="24"/>
          <w:szCs w:val="24"/>
        </w:rPr>
        <w:t>26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D43CF7" w:rsidRPr="00DE0166">
        <w:rPr>
          <w:rFonts w:ascii="Arial" w:eastAsia="Arial" w:hAnsi="Arial" w:cs="Arial"/>
          <w:b/>
          <w:bCs/>
          <w:sz w:val="24"/>
          <w:szCs w:val="24"/>
        </w:rPr>
        <w:t>Regions VI and XI</w:t>
      </w:r>
      <w:r w:rsidR="00AF5905" w:rsidRPr="00DE0166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DE016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6"/>
        <w:gridCol w:w="1790"/>
        <w:gridCol w:w="1378"/>
        <w:gridCol w:w="1364"/>
      </w:tblGrid>
      <w:tr w:rsidR="00DE0166" w:rsidRPr="00DE0166" w14:paraId="353E1691" w14:textId="77777777" w:rsidTr="00DE0166">
        <w:trPr>
          <w:trHeight w:val="20"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12B48D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A529B7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DE0166" w:rsidRPr="00DE0166" w14:paraId="22F8CCB9" w14:textId="77777777" w:rsidTr="00DE0166">
        <w:trPr>
          <w:trHeight w:val="20"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291E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E034BF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545CDB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7AEC65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E0166" w:rsidRPr="00DE0166" w14:paraId="1FEB0D0E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5873D7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0FACF" w14:textId="4ABCB28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2D321" w14:textId="0C22DFF1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6,119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A8376" w14:textId="5DD7DFF5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25,679 </w:t>
            </w:r>
          </w:p>
        </w:tc>
      </w:tr>
      <w:tr w:rsidR="00DE0166" w:rsidRPr="00DE0166" w14:paraId="04A322E0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60A6C2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A1DB1" w14:textId="759AFB7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1F880" w14:textId="20688309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975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7213D" w14:textId="354B0E1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2,648 </w:t>
            </w:r>
          </w:p>
        </w:tc>
      </w:tr>
      <w:tr w:rsidR="00DE0166" w:rsidRPr="00DE0166" w14:paraId="2404D50B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D97D0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5AF06" w14:textId="5311A0A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85652" w14:textId="4BA3F865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43E42" w14:textId="20296C0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1,956 </w:t>
            </w:r>
          </w:p>
        </w:tc>
      </w:tr>
      <w:tr w:rsidR="00DE0166" w:rsidRPr="00DE0166" w14:paraId="62A8B17B" w14:textId="77777777" w:rsidTr="00DE016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DCBC7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87C1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D79F" w14:textId="222DB06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C6CD" w14:textId="6974CB5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90B8" w14:textId="548AD9EC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1,956 </w:t>
            </w:r>
          </w:p>
        </w:tc>
      </w:tr>
      <w:tr w:rsidR="00DE0166" w:rsidRPr="00DE0166" w14:paraId="715E0C86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DAD7F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5DDF8" w14:textId="3237A5F4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13E3F" w14:textId="1A2FA804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DD7D9" w14:textId="184AC721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692 </w:t>
            </w:r>
          </w:p>
        </w:tc>
      </w:tr>
      <w:tr w:rsidR="00DE0166" w:rsidRPr="00DE0166" w14:paraId="5DF73D75" w14:textId="77777777" w:rsidTr="00DE016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627F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78AE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Cauayan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7D2E" w14:textId="3FDA727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42F9" w14:textId="5EDD025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2EA4" w14:textId="50F14B5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692 </w:t>
            </w:r>
          </w:p>
        </w:tc>
      </w:tr>
      <w:tr w:rsidR="00DE0166" w:rsidRPr="00DE0166" w14:paraId="3CB6E886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FD8D10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99DAA" w14:textId="3300441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27087" w14:textId="04F2236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5,144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3C8DA" w14:textId="02673B71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23,031 </w:t>
            </w:r>
          </w:p>
        </w:tc>
      </w:tr>
      <w:tr w:rsidR="00DE0166" w:rsidRPr="00DE0166" w14:paraId="3BB5D9EB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33EC3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 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B8FC4" w14:textId="51B6087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70C46" w14:textId="01E3AC5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EAA80" w14:textId="71992279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11,000 </w:t>
            </w:r>
          </w:p>
        </w:tc>
      </w:tr>
      <w:tr w:rsidR="00DE0166" w:rsidRPr="00DE0166" w14:paraId="7839BABF" w14:textId="77777777" w:rsidTr="00DE016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5DC18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68C0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  <w:proofErr w:type="spellEnd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(Doña Alicia)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5409" w14:textId="6BCE22B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9F47" w14:textId="7D11D2C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67F8" w14:textId="157A3D4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11,000 </w:t>
            </w:r>
          </w:p>
        </w:tc>
      </w:tr>
      <w:tr w:rsidR="00DE0166" w:rsidRPr="00DE0166" w14:paraId="47300F7A" w14:textId="77777777" w:rsidTr="00DE0166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E3C61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2CFA" w14:textId="3AE1B10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D678F" w14:textId="272BDA3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2,644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AB2C9" w14:textId="0E18E71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12,031 </w:t>
            </w:r>
          </w:p>
        </w:tc>
      </w:tr>
      <w:tr w:rsidR="00DE0166" w:rsidRPr="00DE0166" w14:paraId="1D33FB34" w14:textId="77777777" w:rsidTr="00DE016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E898C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8B9D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Asuncion (</w:t>
            </w:r>
            <w:proofErr w:type="spellStart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Saug</w:t>
            </w:r>
            <w:proofErr w:type="spellEnd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D203" w14:textId="2CA9305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9DFA" w14:textId="3EDDF82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2E0D" w14:textId="125C627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3,310 </w:t>
            </w:r>
          </w:p>
        </w:tc>
      </w:tr>
      <w:tr w:rsidR="00DE0166" w:rsidRPr="00DE0166" w14:paraId="5BF60666" w14:textId="77777777" w:rsidTr="00DE0166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ADF7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BFCA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60F4" w14:textId="2826A12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4FCD" w14:textId="7037ED9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1,982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392D" w14:textId="7189ADE4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8,721 </w:t>
            </w:r>
          </w:p>
        </w:tc>
      </w:tr>
    </w:tbl>
    <w:p w14:paraId="2A6F6194" w14:textId="33A44BA6" w:rsidR="00D41206" w:rsidRPr="00D748B7" w:rsidRDefault="00AF5905" w:rsidP="00B32F47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05AEFC24" w:rsidR="00D41206" w:rsidRDefault="00D41206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D43CF7">
        <w:rPr>
          <w:rFonts w:ascii="Arial" w:eastAsia="Arial" w:hAnsi="Arial" w:cs="Arial"/>
          <w:i/>
          <w:color w:val="0070C0"/>
          <w:sz w:val="16"/>
        </w:rPr>
        <w:t>s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 (FOs)</w:t>
      </w:r>
      <w:r w:rsidR="00D43CF7">
        <w:rPr>
          <w:rFonts w:ascii="Arial" w:eastAsia="Arial" w:hAnsi="Arial" w:cs="Arial"/>
          <w:i/>
          <w:color w:val="0070C0"/>
          <w:sz w:val="16"/>
        </w:rPr>
        <w:t xml:space="preserve"> VI and</w:t>
      </w:r>
      <w:r w:rsidR="00B30B91">
        <w:rPr>
          <w:rFonts w:ascii="Arial" w:eastAsia="Arial" w:hAnsi="Arial" w:cs="Arial"/>
          <w:i/>
          <w:color w:val="0070C0"/>
          <w:sz w:val="16"/>
        </w:rPr>
        <w:t xml:space="preserve"> XI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77777777" w:rsidR="00825860" w:rsidRDefault="00D43CF7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Inside Evacuation Centers </w:t>
      </w:r>
    </w:p>
    <w:p w14:paraId="097F47B3" w14:textId="77777777" w:rsidR="00825860" w:rsidRDefault="00D43CF7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25860">
        <w:rPr>
          <w:rFonts w:ascii="Arial" w:hAnsi="Arial" w:cs="Arial"/>
          <w:sz w:val="24"/>
          <w:szCs w:val="24"/>
        </w:rPr>
        <w:t xml:space="preserve">There </w:t>
      </w:r>
      <w:r w:rsidR="00DE0166" w:rsidRPr="00825860">
        <w:rPr>
          <w:rFonts w:ascii="Arial" w:hAnsi="Arial" w:cs="Arial"/>
          <w:sz w:val="24"/>
          <w:szCs w:val="24"/>
        </w:rPr>
        <w:t>were</w:t>
      </w:r>
      <w:r w:rsidRPr="00825860">
        <w:rPr>
          <w:rFonts w:ascii="Arial" w:hAnsi="Arial" w:cs="Arial"/>
          <w:sz w:val="24"/>
          <w:szCs w:val="24"/>
        </w:rPr>
        <w:t xml:space="preserve"> 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53</w:t>
      </w:r>
      <w:r w:rsidRPr="0082586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25860">
        <w:rPr>
          <w:rFonts w:ascii="Arial" w:hAnsi="Arial" w:cs="Arial"/>
          <w:sz w:val="24"/>
          <w:szCs w:val="24"/>
        </w:rPr>
        <w:t xml:space="preserve">or 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 xml:space="preserve">222 </w:t>
      </w:r>
      <w:r w:rsidRPr="00825860">
        <w:rPr>
          <w:rFonts w:ascii="Arial" w:hAnsi="Arial" w:cs="Arial"/>
          <w:b/>
          <w:color w:val="0070C0"/>
          <w:sz w:val="24"/>
          <w:szCs w:val="24"/>
        </w:rPr>
        <w:t>persons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="00DE0166" w:rsidRPr="00825860">
        <w:rPr>
          <w:rFonts w:ascii="Arial" w:hAnsi="Arial" w:cs="Arial"/>
          <w:sz w:val="24"/>
          <w:szCs w:val="24"/>
        </w:rPr>
        <w:t>sought</w:t>
      </w:r>
      <w:r w:rsidRPr="00825860">
        <w:rPr>
          <w:rFonts w:ascii="Arial" w:hAnsi="Arial" w:cs="Arial"/>
          <w:sz w:val="24"/>
          <w:szCs w:val="24"/>
        </w:rPr>
        <w:t xml:space="preserve"> temporary shelter in</w:t>
      </w:r>
      <w:r w:rsidR="00FD5D92" w:rsidRPr="00825860">
        <w:rPr>
          <w:rFonts w:ascii="Arial" w:hAnsi="Arial" w:cs="Arial"/>
          <w:sz w:val="24"/>
          <w:szCs w:val="24"/>
        </w:rPr>
        <w:t>side the</w:t>
      </w:r>
      <w:r w:rsidRPr="00825860">
        <w:rPr>
          <w:rFonts w:ascii="Arial" w:hAnsi="Arial" w:cs="Arial"/>
          <w:sz w:val="24"/>
          <w:szCs w:val="24"/>
        </w:rPr>
        <w:t xml:space="preserve"> 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three (3) evacuation centers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25860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16D4CAC8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434" w:type="pct"/>
        <w:tblInd w:w="1075" w:type="dxa"/>
        <w:tblLook w:val="04A0" w:firstRow="1" w:lastRow="0" w:firstColumn="1" w:lastColumn="0" w:noHBand="0" w:noVBand="1"/>
      </w:tblPr>
      <w:tblGrid>
        <w:gridCol w:w="284"/>
        <w:gridCol w:w="2963"/>
        <w:gridCol w:w="919"/>
        <w:gridCol w:w="919"/>
        <w:gridCol w:w="888"/>
        <w:gridCol w:w="890"/>
        <w:gridCol w:w="890"/>
        <w:gridCol w:w="886"/>
      </w:tblGrid>
      <w:tr w:rsidR="00DE0166" w:rsidRPr="00DE0166" w14:paraId="6824E5E7" w14:textId="77777777" w:rsidTr="00825860">
        <w:trPr>
          <w:trHeight w:val="20"/>
        </w:trPr>
        <w:tc>
          <w:tcPr>
            <w:tcW w:w="1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5C07D2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A4D424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6B1C2E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DE0166" w:rsidRPr="00DE0166" w14:paraId="36025DEF" w14:textId="77777777" w:rsidTr="00825860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BCE9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295C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7DF8BC8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DE0166" w:rsidRPr="00DE0166" w14:paraId="26FC0E20" w14:textId="77777777" w:rsidTr="00825860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7158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F670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0D0CBD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AE97A2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E0166" w:rsidRPr="00DE0166" w14:paraId="67AF3901" w14:textId="77777777" w:rsidTr="00825860">
        <w:trPr>
          <w:trHeight w:val="20"/>
        </w:trPr>
        <w:tc>
          <w:tcPr>
            <w:tcW w:w="1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A729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3798F3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F37FF0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7FF5FA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0C3EDB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D41287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79D03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E0166" w:rsidRPr="00DE0166" w14:paraId="4F57534E" w14:textId="77777777" w:rsidTr="00825860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8F12DD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38CC4" w14:textId="71C8961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CC04EE" w14:textId="26046A3C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61479" w14:textId="0912E8C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AC4305" w14:textId="21DC235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3E139" w14:textId="115E48DF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40959" w14:textId="0BE656D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2B2ED87B" w14:textId="77777777" w:rsidTr="00825860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23A51C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211D7" w14:textId="2606461F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349D0" w14:textId="71A1A07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368D6" w14:textId="5838FA2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99D08" w14:textId="784AD2B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9F3BB" w14:textId="069C0E0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80CC5" w14:textId="25CB49FD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7B925762" w14:textId="77777777" w:rsidTr="00825860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3A45A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4D6FB" w14:textId="30FA740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81D31" w14:textId="638443CF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4E1FB" w14:textId="17E8BBF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E135B" w14:textId="522AE74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9543C" w14:textId="48E4318D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17B41" w14:textId="72E7E7C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0A191B60" w14:textId="77777777" w:rsidTr="0082586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F44A9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DD31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5373" w14:textId="2EA476B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5AE4" w14:textId="4C3C862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96D2" w14:textId="4D32CB5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E6C2" w14:textId="79192B4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6CAD" w14:textId="58BF552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1EA2" w14:textId="30FACF5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DE0166" w:rsidRPr="00DE0166" w14:paraId="43EA76FF" w14:textId="77777777" w:rsidTr="00825860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3BE248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4A4AC" w14:textId="51A742B1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E1D05" w14:textId="5426397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C3C69" w14:textId="19AA8175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67445" w14:textId="4AE98F6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732AA" w14:textId="6C8A56F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F750D" w14:textId="65790AD4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5D9931ED" w14:textId="77777777" w:rsidTr="00825860">
        <w:trPr>
          <w:trHeight w:val="20"/>
        </w:trPr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3F778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9807A" w14:textId="0B30776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27F8C" w14:textId="6BAFE60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3CC51" w14:textId="6465284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20A93" w14:textId="3F4B974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CB0BA" w14:textId="43DF038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484D8" w14:textId="4AB3F09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0F41C6E9" w14:textId="77777777" w:rsidTr="00825860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D3AAC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AFB3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505B" w14:textId="472F52E4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5CDF" w14:textId="75082C2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981F" w14:textId="2417A0F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D78B" w14:textId="739ABC75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DA1F" w14:textId="2582B6F9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9CF2" w14:textId="302ABE5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7E3F590E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C8D9950" w14:textId="77777777" w:rsidR="00DE0166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DE0166">
        <w:rPr>
          <w:rFonts w:ascii="Arial" w:eastAsia="Arial" w:hAnsi="Arial" w:cs="Arial"/>
          <w:i/>
          <w:color w:val="0070C0"/>
          <w:sz w:val="16"/>
        </w:rPr>
        <w:t>Source: DSWD-FOs VI and XI</w:t>
      </w:r>
    </w:p>
    <w:p w14:paraId="3C60C669" w14:textId="6F3F678E" w:rsidR="00D43CF7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414697F" w14:textId="77777777" w:rsidR="00FD5D92" w:rsidRPr="00D43CF7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543C150F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Out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side Evacuation Centers </w:t>
      </w:r>
    </w:p>
    <w:p w14:paraId="4DF42F35" w14:textId="77777777" w:rsid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A3E">
        <w:rPr>
          <w:rFonts w:ascii="Arial" w:hAnsi="Arial" w:cs="Arial"/>
          <w:sz w:val="24"/>
          <w:szCs w:val="24"/>
        </w:rPr>
        <w:t xml:space="preserve">There are </w:t>
      </w:r>
      <w:r w:rsidR="00DE0166" w:rsidRPr="00A81A3E">
        <w:rPr>
          <w:rFonts w:ascii="Arial" w:hAnsi="Arial" w:cs="Arial"/>
          <w:b/>
          <w:bCs/>
          <w:color w:val="0070C0"/>
          <w:sz w:val="24"/>
          <w:szCs w:val="24"/>
        </w:rPr>
        <w:t>four (4)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or </w:t>
      </w:r>
      <w:r w:rsidR="00DE0166" w:rsidRPr="00A81A3E">
        <w:rPr>
          <w:rFonts w:ascii="Arial" w:hAnsi="Arial" w:cs="Arial"/>
          <w:b/>
          <w:bCs/>
          <w:color w:val="0070C0"/>
          <w:sz w:val="24"/>
          <w:szCs w:val="24"/>
        </w:rPr>
        <w:t>20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temporarily staying with their relatives and/or friends in </w:t>
      </w:r>
      <w:r w:rsidRPr="00A81A3E">
        <w:rPr>
          <w:rFonts w:ascii="Arial" w:hAnsi="Arial" w:cs="Arial"/>
          <w:b/>
          <w:bCs/>
          <w:sz w:val="24"/>
          <w:szCs w:val="24"/>
        </w:rPr>
        <w:t>Region VI</w:t>
      </w:r>
      <w:r w:rsidRPr="00A81A3E">
        <w:rPr>
          <w:rFonts w:ascii="Arial" w:hAnsi="Arial" w:cs="Arial"/>
          <w:sz w:val="24"/>
          <w:szCs w:val="24"/>
        </w:rPr>
        <w:t xml:space="preserve"> (see Table 3).</w:t>
      </w:r>
    </w:p>
    <w:p w14:paraId="6A7A3ACA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2843BD" w14:textId="107B6FBC" w:rsidR="00FD5D92" w:rsidRP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Persons Outside Evacuation Centers</w:t>
      </w:r>
    </w:p>
    <w:tbl>
      <w:tblPr>
        <w:tblW w:w="4437" w:type="pct"/>
        <w:tblInd w:w="1075" w:type="dxa"/>
        <w:tblLook w:val="04A0" w:firstRow="1" w:lastRow="0" w:firstColumn="1" w:lastColumn="0" w:noHBand="0" w:noVBand="1"/>
      </w:tblPr>
      <w:tblGrid>
        <w:gridCol w:w="282"/>
        <w:gridCol w:w="3947"/>
        <w:gridCol w:w="1103"/>
        <w:gridCol w:w="1103"/>
        <w:gridCol w:w="1103"/>
        <w:gridCol w:w="1103"/>
      </w:tblGrid>
      <w:tr w:rsidR="00DE0166" w:rsidRPr="00DE0166" w14:paraId="12AC555F" w14:textId="77777777" w:rsidTr="00A81A3E">
        <w:trPr>
          <w:trHeight w:val="20"/>
        </w:trPr>
        <w:tc>
          <w:tcPr>
            <w:tcW w:w="24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63F4BF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B12A30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DE0166" w:rsidRPr="00DE0166" w14:paraId="39A10BF6" w14:textId="77777777" w:rsidTr="00A81A3E">
        <w:trPr>
          <w:trHeight w:val="20"/>
        </w:trPr>
        <w:tc>
          <w:tcPr>
            <w:tcW w:w="24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E07F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D850D0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DE0166" w:rsidRPr="00DE0166" w14:paraId="41AC182A" w14:textId="77777777" w:rsidTr="00A81A3E">
        <w:trPr>
          <w:trHeight w:val="20"/>
        </w:trPr>
        <w:tc>
          <w:tcPr>
            <w:tcW w:w="24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B262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4C4786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0A524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E0166" w:rsidRPr="00DE0166" w14:paraId="7B68B1AA" w14:textId="77777777" w:rsidTr="00A81A3E">
        <w:trPr>
          <w:trHeight w:val="20"/>
        </w:trPr>
        <w:tc>
          <w:tcPr>
            <w:tcW w:w="24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E50B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8A8C0B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2B72EB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46196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08485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E0166" w:rsidRPr="00DE0166" w14:paraId="64BB3160" w14:textId="77777777" w:rsidTr="00A81A3E">
        <w:trPr>
          <w:trHeight w:val="20"/>
        </w:trPr>
        <w:tc>
          <w:tcPr>
            <w:tcW w:w="2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54F11A" w14:textId="77777777" w:rsidR="00DE0166" w:rsidRPr="00DE0166" w:rsidRDefault="00DE0166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23BA7" w14:textId="3758E66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73AE7" w14:textId="7F5C567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B8376" w14:textId="6D21588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3F3404" w14:textId="51F8F1EB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DE0166" w:rsidRPr="00DE0166" w14:paraId="134B009F" w14:textId="77777777" w:rsidTr="00A81A3E">
        <w:trPr>
          <w:trHeight w:val="20"/>
        </w:trPr>
        <w:tc>
          <w:tcPr>
            <w:tcW w:w="2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622B5A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62915" w14:textId="5D6F94BE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3018B" w14:textId="76A3555F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EEF16" w14:textId="04E3A033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704AB" w14:textId="61CA0A4C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DE0166" w:rsidRPr="00DE0166" w14:paraId="4F790BBA" w14:textId="77777777" w:rsidTr="00A81A3E">
        <w:trPr>
          <w:trHeight w:val="20"/>
        </w:trPr>
        <w:tc>
          <w:tcPr>
            <w:tcW w:w="2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387D6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FFCC" w14:textId="4F3E3A3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813E5" w14:textId="078B765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0096A" w14:textId="2CD5E65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5FD73" w14:textId="05D8755A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DE0166" w:rsidRPr="00DE0166" w14:paraId="13B9C228" w14:textId="77777777" w:rsidTr="00A81A3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CE6F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7FCA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782B" w14:textId="2C726F8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F957" w14:textId="7BB42E1D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51D9" w14:textId="38170539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EA77" w14:textId="56193DD2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DE0166" w:rsidRPr="00DE0166" w14:paraId="360F5921" w14:textId="77777777" w:rsidTr="00A81A3E">
        <w:trPr>
          <w:trHeight w:val="20"/>
        </w:trPr>
        <w:tc>
          <w:tcPr>
            <w:tcW w:w="2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A33CC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20CF4" w14:textId="133EDF1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79912" w14:textId="6DBAA1F0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83CBA" w14:textId="1249432D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E88B4" w14:textId="4AE4E296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DE0166" w:rsidRPr="00DE0166" w14:paraId="008F42E1" w14:textId="77777777" w:rsidTr="00A81A3E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B04A8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6750" w14:textId="77777777" w:rsidR="00DE0166" w:rsidRPr="00DE0166" w:rsidRDefault="00DE0166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Cauayan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5070" w14:textId="4265F88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B380" w14:textId="1D6955E7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1509" w14:textId="3D02F3F5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C474" w14:textId="485F0AF8" w:rsidR="00DE0166" w:rsidRPr="00DE0166" w:rsidRDefault="00DE0166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E0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</w:tbl>
    <w:p w14:paraId="681E6488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90EA29F" w14:textId="4D12C870" w:rsidR="00FD5D92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DSWD-FOs VI</w:t>
      </w:r>
    </w:p>
    <w:p w14:paraId="788036A3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7E78990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D64FFA0" w14:textId="4E909895" w:rsid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A3E">
        <w:rPr>
          <w:rFonts w:ascii="Arial" w:hAnsi="Arial" w:cs="Arial"/>
          <w:sz w:val="24"/>
          <w:szCs w:val="24"/>
        </w:rPr>
        <w:t xml:space="preserve">There are </w:t>
      </w:r>
      <w:r w:rsidR="00DE0166" w:rsidRPr="00A81A3E">
        <w:rPr>
          <w:rFonts w:ascii="Arial" w:hAnsi="Arial" w:cs="Arial"/>
          <w:b/>
          <w:bCs/>
          <w:color w:val="0070C0"/>
          <w:sz w:val="24"/>
          <w:szCs w:val="24"/>
        </w:rPr>
        <w:t>four (4)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or </w:t>
      </w:r>
      <w:r w:rsidR="00DE0166" w:rsidRPr="00A81A3E">
        <w:rPr>
          <w:rFonts w:ascii="Arial" w:hAnsi="Arial" w:cs="Arial"/>
          <w:b/>
          <w:bCs/>
          <w:color w:val="0070C0"/>
          <w:sz w:val="24"/>
          <w:szCs w:val="24"/>
        </w:rPr>
        <w:t>20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153F1E">
        <w:rPr>
          <w:rFonts w:ascii="Arial" w:hAnsi="Arial" w:cs="Arial"/>
          <w:sz w:val="24"/>
          <w:szCs w:val="24"/>
        </w:rPr>
        <w:t xml:space="preserve">who are still displaced </w:t>
      </w:r>
      <w:r>
        <w:rPr>
          <w:rFonts w:ascii="Arial" w:hAnsi="Arial" w:cs="Arial"/>
          <w:sz w:val="24"/>
          <w:szCs w:val="24"/>
        </w:rPr>
        <w:t xml:space="preserve">in </w:t>
      </w:r>
      <w:r w:rsidRPr="001D062E">
        <w:rPr>
          <w:rFonts w:ascii="Arial" w:hAnsi="Arial" w:cs="Arial"/>
          <w:b/>
          <w:bCs/>
          <w:sz w:val="24"/>
          <w:szCs w:val="24"/>
        </w:rPr>
        <w:t>Region</w:t>
      </w:r>
      <w:r w:rsidR="001D062E" w:rsidRPr="001D062E">
        <w:rPr>
          <w:rFonts w:ascii="Arial" w:hAnsi="Arial" w:cs="Arial"/>
          <w:b/>
          <w:bCs/>
          <w:sz w:val="24"/>
          <w:szCs w:val="24"/>
        </w:rPr>
        <w:t>s</w:t>
      </w:r>
      <w:r w:rsidRPr="001D062E">
        <w:rPr>
          <w:rFonts w:ascii="Arial" w:hAnsi="Arial" w:cs="Arial"/>
          <w:b/>
          <w:bCs/>
          <w:sz w:val="24"/>
          <w:szCs w:val="24"/>
        </w:rPr>
        <w:t xml:space="preserve"> VI</w:t>
      </w:r>
      <w:r w:rsidR="00153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D92">
        <w:rPr>
          <w:rFonts w:ascii="Arial" w:hAnsi="Arial" w:cs="Arial"/>
          <w:sz w:val="24"/>
          <w:szCs w:val="24"/>
        </w:rPr>
        <w:t>(see Table 4).</w:t>
      </w:r>
    </w:p>
    <w:p w14:paraId="0B0957B2" w14:textId="77777777" w:rsidR="00153F1E" w:rsidRDefault="00153F1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D4494B2" w:rsidR="00FD5D92" w:rsidRP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64" w:type="pct"/>
        <w:tblInd w:w="1075" w:type="dxa"/>
        <w:tblLook w:val="04A0" w:firstRow="1" w:lastRow="0" w:firstColumn="1" w:lastColumn="0" w:noHBand="0" w:noVBand="1"/>
      </w:tblPr>
      <w:tblGrid>
        <w:gridCol w:w="708"/>
        <w:gridCol w:w="2622"/>
        <w:gridCol w:w="1334"/>
        <w:gridCol w:w="1347"/>
        <w:gridCol w:w="1335"/>
        <w:gridCol w:w="1347"/>
      </w:tblGrid>
      <w:tr w:rsidR="001D062E" w:rsidRPr="001D062E" w14:paraId="03F810D4" w14:textId="77777777" w:rsidTr="00153F1E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B75937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66686" w14:textId="364432DE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</w:t>
            </w:r>
          </w:p>
        </w:tc>
      </w:tr>
      <w:tr w:rsidR="001D062E" w:rsidRPr="001D062E" w14:paraId="73C6F746" w14:textId="77777777" w:rsidTr="00153F1E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48F0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BD1AAB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5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4F927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D062E" w:rsidRPr="001D062E" w14:paraId="272C4BAE" w14:textId="77777777" w:rsidTr="00153F1E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3CB4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419B55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F0F2D5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09EE3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FC2536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D062E" w:rsidRPr="001D062E" w14:paraId="4C139960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AFD5AA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4E6A6" w14:textId="1BDB3FD3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851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14CF0" w14:textId="08214224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17CD5" w14:textId="0D97E6DD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2,158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EFBEE" w14:textId="008995B5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1D062E" w:rsidRPr="001D062E" w14:paraId="44636553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EFCF65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40F29" w14:textId="60FEC996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810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67DF3" w14:textId="70B0B7AE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A95E3" w14:textId="17A51363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1,972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511A9" w14:textId="36BE9159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1D062E" w:rsidRPr="001D062E" w14:paraId="6C02AEF6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2EE54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DE9CE" w14:textId="4B2FBF8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F3CC8" w14:textId="2766A0F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BA04B" w14:textId="274F48B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1,952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13CB5" w14:textId="498B32A2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D062E" w:rsidRPr="001D062E" w14:paraId="2F3EEC81" w14:textId="77777777" w:rsidTr="00153F1E">
        <w:trPr>
          <w:trHeight w:val="20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F10F3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FE3C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Concepcion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3A56" w14:textId="5454F4D6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B681" w14:textId="1B9D11D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54B8" w14:textId="7AE1C904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1,952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F939" w14:textId="1163C9DF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D062E" w:rsidRPr="001D062E" w14:paraId="12F5EE00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3E0D0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45E22" w14:textId="0AEE0ED7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C1EA2" w14:textId="47B1F836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0165A" w14:textId="3225449E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64AF2" w14:textId="7540ABE8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1D062E" w:rsidRPr="001D062E" w14:paraId="1E07A077" w14:textId="77777777" w:rsidTr="00153F1E">
        <w:trPr>
          <w:trHeight w:val="20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81F6F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D052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Cauayan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C251" w14:textId="18083224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5FCF" w14:textId="5C0818EB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85DA" w14:textId="56A9EB9B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ED7D" w14:textId="20526499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1D062E" w:rsidRPr="001D062E" w14:paraId="687CF013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A3B6B8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5813F" w14:textId="3609004B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BFD8B" w14:textId="434CD917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A850D" w14:textId="38DA8B4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F2F77" w14:textId="75BEB32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D062E" w:rsidRPr="001D062E" w14:paraId="653B7D7C" w14:textId="77777777" w:rsidTr="00153F1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2EEE2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Norte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30FBF" w14:textId="37E1561F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FDC56" w14:textId="07FC7355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4DA2A" w14:textId="7B1D77A9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227BE" w14:textId="59515BBB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D062E" w:rsidRPr="001D062E" w14:paraId="5FDD32CA" w14:textId="77777777" w:rsidTr="00153F1E">
        <w:trPr>
          <w:trHeight w:val="20"/>
        </w:trPr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9F99B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76F1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C7E7" w14:textId="181B041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C647" w14:textId="19A8BFC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7813" w14:textId="49D72559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2220" w14:textId="63CE98B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22D2AEA6" w14:textId="77777777" w:rsidR="00FD5D92" w:rsidRPr="00D748B7" w:rsidRDefault="00FD5D92" w:rsidP="00B32F47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12E3DBEB" w14:textId="77777777" w:rsidR="001D062E" w:rsidRDefault="001D062E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XI</w:t>
      </w:r>
    </w:p>
    <w:p w14:paraId="1E59B3C7" w14:textId="77777777" w:rsidR="00153F1E" w:rsidRPr="00153F1E" w:rsidRDefault="00153F1E" w:rsidP="00B32F47">
      <w:pPr>
        <w:pStyle w:val="ListParagraph"/>
        <w:spacing w:after="0" w:line="240" w:lineRule="auto"/>
        <w:ind w:left="851"/>
        <w:rPr>
          <w:rFonts w:ascii="Arial" w:hAnsi="Arial" w:cs="Arial"/>
          <w:b/>
          <w:color w:val="002060"/>
          <w:sz w:val="24"/>
          <w:szCs w:val="24"/>
        </w:rPr>
      </w:pPr>
    </w:p>
    <w:p w14:paraId="21DC8BB1" w14:textId="6F11F10F" w:rsidR="001D062E" w:rsidRPr="00B32F47" w:rsidRDefault="001D062E" w:rsidP="00B32F47">
      <w:pPr>
        <w:pStyle w:val="ListParagraph"/>
        <w:numPr>
          <w:ilvl w:val="0"/>
          <w:numId w:val="14"/>
        </w:numPr>
        <w:spacing w:after="0" w:line="240" w:lineRule="auto"/>
        <w:ind w:left="851" w:hanging="851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Damaged Houses</w:t>
      </w:r>
    </w:p>
    <w:p w14:paraId="24E7CF8F" w14:textId="177157A2" w:rsidR="001D062E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E4174">
        <w:rPr>
          <w:rFonts w:ascii="Arial" w:hAnsi="Arial" w:cs="Arial"/>
          <w:bCs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126FA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houses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were damaged; of which, </w:t>
      </w:r>
      <w:r>
        <w:rPr>
          <w:rFonts w:ascii="Arial" w:hAnsi="Arial" w:cs="Arial"/>
          <w:b/>
          <w:color w:val="0070C0"/>
          <w:sz w:val="24"/>
          <w:szCs w:val="24"/>
        </w:rPr>
        <w:t>four (4)</w:t>
      </w:r>
      <w:r w:rsidRPr="00126FA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are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color w:val="0070C0"/>
          <w:sz w:val="24"/>
          <w:szCs w:val="24"/>
        </w:rPr>
        <w:t>three (3)</w:t>
      </w:r>
      <w:r w:rsidRPr="00126FA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are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>(see Table 5).</w:t>
      </w:r>
    </w:p>
    <w:p w14:paraId="7984EB28" w14:textId="7B3E6047" w:rsidR="001D062E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65A0E1B6" w14:textId="0E876651" w:rsidR="001D062E" w:rsidRDefault="001D062E" w:rsidP="00B32F47">
      <w:pPr>
        <w:pStyle w:val="NoSpacing"/>
        <w:ind w:left="851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565" w:type="pct"/>
        <w:tblInd w:w="846" w:type="dxa"/>
        <w:tblLook w:val="04A0" w:firstRow="1" w:lastRow="0" w:firstColumn="1" w:lastColumn="0" w:noHBand="0" w:noVBand="1"/>
      </w:tblPr>
      <w:tblGrid>
        <w:gridCol w:w="282"/>
        <w:gridCol w:w="4527"/>
        <w:gridCol w:w="1325"/>
        <w:gridCol w:w="1325"/>
        <w:gridCol w:w="1431"/>
      </w:tblGrid>
      <w:tr w:rsidR="001D062E" w:rsidRPr="001D062E" w14:paraId="5A6ACA8B" w14:textId="77777777" w:rsidTr="001D062E">
        <w:trPr>
          <w:trHeight w:val="20"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F3AD95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571919" w14:textId="0F254030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1D062E" w:rsidRPr="001D062E" w14:paraId="20194916" w14:textId="77777777" w:rsidTr="001D062E">
        <w:trPr>
          <w:trHeight w:val="20"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C4CD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DCB141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890112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FB167C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1D062E" w:rsidRPr="001D062E" w14:paraId="5129B40E" w14:textId="77777777" w:rsidTr="001D062E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730CC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7C35F" w14:textId="268B32B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7EF55E" w14:textId="4FAF66C8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97F988" w14:textId="026BEF9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1D062E" w:rsidRPr="001D062E" w14:paraId="49EECD49" w14:textId="77777777" w:rsidTr="001D062E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ED4FBB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8A02F" w14:textId="6A7AE43B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61074" w14:textId="71635C52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202D7" w14:textId="758778FC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1D062E" w:rsidRPr="001D062E" w14:paraId="50E071E4" w14:textId="77777777" w:rsidTr="001D062E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656C3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B7099" w14:textId="022E2E32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B7DC9" w14:textId="53D2DF7D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590E9" w14:textId="0F1FCA19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1D062E" w:rsidRPr="001D062E" w14:paraId="0E5BEA74" w14:textId="77777777" w:rsidTr="001D062E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0DFF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C520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Cauayan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667F" w14:textId="6817E8FE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D201" w14:textId="23DD521F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4F38" w14:textId="2569C9B7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</w:tbl>
    <w:p w14:paraId="179B7748" w14:textId="77777777" w:rsidR="001D062E" w:rsidRPr="00D748B7" w:rsidRDefault="001D062E" w:rsidP="00B32F4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23BBB54" w14:textId="05D7AE11" w:rsidR="001D062E" w:rsidRDefault="001D062E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30082A6" w14:textId="77777777" w:rsidR="001D062E" w:rsidRPr="00E959B9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58D846D7" w14:textId="77777777" w:rsidR="00E959B9" w:rsidRDefault="00E959B9" w:rsidP="00B32F4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66D69E39" w14:textId="7039149A" w:rsidR="001D062E" w:rsidRPr="00B32F47" w:rsidRDefault="001D062E" w:rsidP="00B32F47">
      <w:pPr>
        <w:pStyle w:val="NoSpacing"/>
        <w:numPr>
          <w:ilvl w:val="0"/>
          <w:numId w:val="14"/>
        </w:numPr>
        <w:ind w:left="851" w:hanging="851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36B03B37" w14:textId="0A33D2E5" w:rsidR="001D062E" w:rsidRDefault="001D062E" w:rsidP="00B32F47">
      <w:pPr>
        <w:pStyle w:val="NoSpacing"/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50A05">
        <w:rPr>
          <w:rFonts w:ascii="Arial" w:hAnsi="Arial" w:cs="Arial"/>
          <w:bCs/>
          <w:sz w:val="24"/>
          <w:szCs w:val="24"/>
        </w:rPr>
        <w:t xml:space="preserve">A total of </w:t>
      </w:r>
      <w:r w:rsidRPr="00DA2F7B">
        <w:rPr>
          <w:rFonts w:ascii="Arial" w:hAnsi="Arial" w:cs="Arial"/>
          <w:b/>
          <w:color w:val="0070C0"/>
          <w:sz w:val="24"/>
          <w:szCs w:val="24"/>
        </w:rPr>
        <w:t>₱</w:t>
      </w:r>
      <w:r w:rsidRPr="001D062E">
        <w:rPr>
          <w:rFonts w:ascii="Arial" w:hAnsi="Arial" w:cs="Arial"/>
          <w:b/>
          <w:bCs/>
          <w:color w:val="0070C0"/>
          <w:sz w:val="24"/>
          <w:szCs w:val="24"/>
        </w:rPr>
        <w:t xml:space="preserve">18,000.00 </w:t>
      </w:r>
      <w:r w:rsidRPr="00850A05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by the </w:t>
      </w:r>
      <w:r w:rsidR="00E959B9" w:rsidRPr="00E959B9">
        <w:rPr>
          <w:rFonts w:ascii="Arial" w:hAnsi="Arial" w:cs="Arial"/>
          <w:b/>
          <w:bCs/>
          <w:color w:val="0070C0"/>
          <w:sz w:val="24"/>
          <w:szCs w:val="24"/>
        </w:rPr>
        <w:t>Local Government Unit (</w:t>
      </w:r>
      <w:r w:rsidRPr="00E959B9">
        <w:rPr>
          <w:rFonts w:ascii="Arial" w:hAnsi="Arial" w:cs="Arial"/>
          <w:b/>
          <w:color w:val="0070C0"/>
          <w:sz w:val="24"/>
          <w:szCs w:val="24"/>
        </w:rPr>
        <w:t>LGU</w:t>
      </w:r>
      <w:r w:rsidR="00E959B9" w:rsidRPr="00E959B9">
        <w:rPr>
          <w:rFonts w:ascii="Arial" w:hAnsi="Arial" w:cs="Arial"/>
          <w:b/>
          <w:color w:val="0070C0"/>
          <w:sz w:val="24"/>
          <w:szCs w:val="24"/>
        </w:rPr>
        <w:t>)</w:t>
      </w:r>
      <w:r w:rsidRPr="00850A05">
        <w:rPr>
          <w:rFonts w:ascii="Arial" w:hAnsi="Arial" w:cs="Arial"/>
          <w:bCs/>
          <w:sz w:val="24"/>
          <w:szCs w:val="24"/>
        </w:rPr>
        <w:t xml:space="preserve"> to the affected</w:t>
      </w:r>
      <w:r w:rsidRPr="00850A05">
        <w:rPr>
          <w:rFonts w:ascii="Arial" w:hAnsi="Arial" w:cs="Arial"/>
          <w:b/>
          <w:sz w:val="28"/>
          <w:szCs w:val="24"/>
        </w:rPr>
        <w:t xml:space="preserve"> </w:t>
      </w:r>
      <w:r w:rsidRPr="00850A05">
        <w:rPr>
          <w:rFonts w:ascii="Arial" w:hAnsi="Arial" w:cs="Arial"/>
          <w:bCs/>
          <w:sz w:val="24"/>
          <w:szCs w:val="24"/>
        </w:rPr>
        <w:t>families</w:t>
      </w:r>
      <w:r>
        <w:rPr>
          <w:rFonts w:ascii="Arial" w:hAnsi="Arial" w:cs="Arial"/>
          <w:bCs/>
          <w:sz w:val="24"/>
          <w:szCs w:val="24"/>
        </w:rPr>
        <w:t>.</w:t>
      </w:r>
    </w:p>
    <w:p w14:paraId="5D0783E8" w14:textId="7F7C00A2" w:rsidR="001D062E" w:rsidRDefault="001D062E" w:rsidP="00B32F47">
      <w:pPr>
        <w:pStyle w:val="NoSpacing"/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3313479" w14:textId="2F619FE5" w:rsidR="001D062E" w:rsidRPr="001D062E" w:rsidRDefault="001D062E" w:rsidP="00B32F47">
      <w:pPr>
        <w:pStyle w:val="NoSpacing"/>
        <w:ind w:left="851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2749"/>
        <w:gridCol w:w="996"/>
        <w:gridCol w:w="1330"/>
        <w:gridCol w:w="941"/>
        <w:gridCol w:w="1263"/>
        <w:gridCol w:w="1330"/>
      </w:tblGrid>
      <w:tr w:rsidR="001D062E" w:rsidRPr="001D062E" w14:paraId="62CCD8CE" w14:textId="77777777" w:rsidTr="001D062E">
        <w:trPr>
          <w:trHeight w:val="20"/>
        </w:trPr>
        <w:tc>
          <w:tcPr>
            <w:tcW w:w="1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A32E53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34E1F3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D062E" w:rsidRPr="001D062E" w14:paraId="5BBACBBA" w14:textId="77777777" w:rsidTr="001D062E">
        <w:trPr>
          <w:trHeight w:val="20"/>
        </w:trPr>
        <w:tc>
          <w:tcPr>
            <w:tcW w:w="1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7E5D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D8AD26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774BD7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A56A6B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0799D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7667B5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1D062E" w:rsidRPr="001D062E" w14:paraId="5352C94F" w14:textId="77777777" w:rsidTr="001D062E">
        <w:trPr>
          <w:trHeight w:val="20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BEFEA" w14:textId="77777777" w:rsidR="001D062E" w:rsidRPr="001D062E" w:rsidRDefault="001D062E" w:rsidP="00B32F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60FB1C9" w14:textId="7A9BBA9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3243453" w14:textId="43512E3C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EF838DB" w14:textId="5FE323E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3AA0831" w14:textId="2A92B416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D092973" w14:textId="59137526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</w:tr>
      <w:tr w:rsidR="001D062E" w:rsidRPr="001D062E" w14:paraId="3BB810C1" w14:textId="77777777" w:rsidTr="001D062E">
        <w:trPr>
          <w:trHeight w:val="20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01CA5F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BD5CDB" w14:textId="6330D904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89FF5D4" w14:textId="6402636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A6AFAB" w14:textId="47980C81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4ADEB18" w14:textId="721DA40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20C57F" w14:textId="762B0718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</w:tr>
      <w:tr w:rsidR="001D062E" w:rsidRPr="001D062E" w14:paraId="36A10193" w14:textId="77777777" w:rsidTr="001D062E">
        <w:trPr>
          <w:trHeight w:val="20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79AC0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A87B09" w14:textId="1B8D9D7E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84E675" w14:textId="22DFA871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89D658" w14:textId="7F058B00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F0BE85" w14:textId="55E91837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C9B1E7" w14:textId="6A52CF38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</w:tr>
      <w:tr w:rsidR="001D062E" w:rsidRPr="001D062E" w14:paraId="6DE35B4B" w14:textId="77777777" w:rsidTr="001D062E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45CF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F523" w14:textId="77777777" w:rsidR="001D062E" w:rsidRPr="001D062E" w:rsidRDefault="001D062E" w:rsidP="00B32F4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Cauayan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F882" w14:textId="6C2E7B2A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874A" w14:textId="4E37F284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0996" w14:textId="6040661F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81F5" w14:textId="0CFFF923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4BE7" w14:textId="530575A7" w:rsidR="001D062E" w:rsidRPr="001D062E" w:rsidRDefault="001D062E" w:rsidP="00B32F4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0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18,000.00 </w:t>
            </w:r>
          </w:p>
        </w:tc>
      </w:tr>
    </w:tbl>
    <w:p w14:paraId="3C5183EA" w14:textId="77777777" w:rsidR="001D062E" w:rsidRDefault="001D062E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92A42" w14:textId="77777777" w:rsidR="001D062E" w:rsidRDefault="001D062E" w:rsidP="00B32F47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1A4DD34F" w:rsidR="00443495" w:rsidRPr="004208E9" w:rsidRDefault="00443495" w:rsidP="00B32F4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4F494865" w14:textId="763684CE" w:rsidR="00C45EB2" w:rsidRPr="00C45EB2" w:rsidRDefault="00C45EB2" w:rsidP="00B32F47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7341156F" w:rsidR="00CC03C0" w:rsidRPr="00B32F47" w:rsidRDefault="00CC03C0" w:rsidP="00B32F4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32F47">
        <w:rPr>
          <w:rFonts w:ascii="Arial" w:hAnsi="Arial" w:cs="Arial"/>
          <w:b/>
          <w:color w:val="002060"/>
          <w:sz w:val="24"/>
          <w:szCs w:val="24"/>
        </w:rPr>
        <w:t>Standby Funds and Prepositioned Relied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39"/>
        <w:gridCol w:w="991"/>
        <w:gridCol w:w="1441"/>
        <w:gridCol w:w="1619"/>
        <w:gridCol w:w="1640"/>
      </w:tblGrid>
      <w:tr w:rsidR="003022BF" w:rsidRPr="003022BF" w14:paraId="4A0C1761" w14:textId="77777777" w:rsidTr="00B32F47">
        <w:trPr>
          <w:trHeight w:val="20"/>
        </w:trPr>
        <w:tc>
          <w:tcPr>
            <w:tcW w:w="883" w:type="pct"/>
            <w:vMerge w:val="restart"/>
            <w:shd w:val="clear" w:color="000000" w:fill="B7B7B7"/>
            <w:vAlign w:val="center"/>
            <w:hideMark/>
          </w:tcPr>
          <w:p w14:paraId="085D9AA3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bookmarkStart w:id="2" w:name="_GoBack"/>
            <w:bookmarkEnd w:id="2"/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31" w:type="pct"/>
            <w:vMerge w:val="restart"/>
            <w:shd w:val="clear" w:color="000000" w:fill="B7B7B7"/>
            <w:vAlign w:val="center"/>
            <w:hideMark/>
          </w:tcPr>
          <w:p w14:paraId="0A0220DB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39" w:type="pct"/>
            <w:gridSpan w:val="3"/>
            <w:shd w:val="clear" w:color="000000" w:fill="B7B7B7"/>
            <w:vAlign w:val="center"/>
            <w:hideMark/>
          </w:tcPr>
          <w:p w14:paraId="0EB32989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947" w:type="pct"/>
            <w:vMerge w:val="restart"/>
            <w:shd w:val="clear" w:color="000000" w:fill="B7B7B7"/>
            <w:vAlign w:val="center"/>
            <w:hideMark/>
          </w:tcPr>
          <w:p w14:paraId="0A4D142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022BF" w:rsidRPr="003022BF" w14:paraId="00DE62E7" w14:textId="77777777" w:rsidTr="00B32F47">
        <w:trPr>
          <w:trHeight w:val="20"/>
        </w:trPr>
        <w:tc>
          <w:tcPr>
            <w:tcW w:w="883" w:type="pct"/>
            <w:vMerge/>
            <w:vAlign w:val="center"/>
            <w:hideMark/>
          </w:tcPr>
          <w:p w14:paraId="4CE9C8F1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FCEA430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404" w:type="pct"/>
            <w:gridSpan w:val="2"/>
            <w:shd w:val="clear" w:color="000000" w:fill="B7B7B7"/>
            <w:vAlign w:val="center"/>
            <w:hideMark/>
          </w:tcPr>
          <w:p w14:paraId="757D88B8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35" w:type="pct"/>
            <w:vMerge w:val="restart"/>
            <w:shd w:val="clear" w:color="000000" w:fill="B7B7B7"/>
            <w:vAlign w:val="center"/>
            <w:hideMark/>
          </w:tcPr>
          <w:p w14:paraId="6BF2FF64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47" w:type="pct"/>
            <w:vMerge/>
            <w:vAlign w:val="center"/>
            <w:hideMark/>
          </w:tcPr>
          <w:p w14:paraId="643C859A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713DA639" w14:textId="77777777" w:rsidTr="00B32F47">
        <w:trPr>
          <w:trHeight w:val="20"/>
        </w:trPr>
        <w:tc>
          <w:tcPr>
            <w:tcW w:w="883" w:type="pct"/>
            <w:vMerge/>
            <w:vAlign w:val="center"/>
            <w:hideMark/>
          </w:tcPr>
          <w:p w14:paraId="6E84F85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E389CFD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72" w:type="pct"/>
            <w:shd w:val="clear" w:color="000000" w:fill="B7B7B7"/>
            <w:vAlign w:val="center"/>
            <w:hideMark/>
          </w:tcPr>
          <w:p w14:paraId="5CEB8AD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32" w:type="pct"/>
            <w:shd w:val="clear" w:color="000000" w:fill="B7B7B7"/>
            <w:vAlign w:val="center"/>
            <w:hideMark/>
          </w:tcPr>
          <w:p w14:paraId="533B7BAE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35" w:type="pct"/>
            <w:vMerge/>
            <w:vAlign w:val="center"/>
            <w:hideMark/>
          </w:tcPr>
          <w:p w14:paraId="2C04A6E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14:paraId="49843DA4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34775C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C89CD36" w14:textId="74FF9EBF" w:rsidR="00373A1D" w:rsidRPr="00771F47" w:rsidRDefault="00771F47" w:rsidP="00771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DSWD-CO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D928427" w14:textId="03FC6628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403,151,648.37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8E4CFF7" w14:textId="42E61B31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0B240C" w14:textId="7EE855EA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72E12A" w14:textId="249448DC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534C506" w14:textId="2192EC3A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403,151,648.37 </w:t>
            </w:r>
          </w:p>
        </w:tc>
      </w:tr>
      <w:tr w:rsidR="003022BF" w:rsidRPr="003022BF" w14:paraId="67F6C496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23509EC" w14:textId="693D9C13" w:rsidR="00373A1D" w:rsidRPr="00771F47" w:rsidRDefault="005747E4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8" w:anchor="RANGE!gid=387878143" w:history="1">
              <w:r w:rsid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373A1D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NROC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CA9F6B" w14:textId="39107C23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5288F1" w14:textId="569AD008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59,838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05C3A74" w14:textId="04310EA2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40,583,255.60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D3B30C2" w14:textId="5A351750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169,209,584.26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2CA5A4B" w14:textId="39122964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209,792,839.86 </w:t>
            </w:r>
          </w:p>
        </w:tc>
      </w:tr>
      <w:tr w:rsidR="003022BF" w:rsidRPr="003022BF" w14:paraId="4577CDFB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30D5F52" w14:textId="0F0C3604" w:rsidR="00373A1D" w:rsidRPr="00771F47" w:rsidRDefault="005747E4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9" w:anchor="RANGE!gid=710460737" w:history="1">
              <w:r w:rsid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="00373A1D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VDRC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430EADE5" w14:textId="24A52D27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2139E" w14:textId="64863931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10,534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D275DAF" w14:textId="0A3724F0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5,003,650.00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41A86A" w14:textId="4CD272B7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31,459,155.86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3E6B9F0" w14:textId="7A2C484F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36,462,805.86 </w:t>
            </w:r>
          </w:p>
        </w:tc>
      </w:tr>
      <w:tr w:rsidR="003022BF" w:rsidRPr="003022BF" w14:paraId="59379555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0B4D1597" w14:textId="7B28D1B1" w:rsidR="00373A1D" w:rsidRPr="00771F47" w:rsidRDefault="003022B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0" w:anchor="RANGE!gid=1347618722" w:history="1">
              <w:r w:rsidR="00373A1D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VI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2741ED9E" w14:textId="6A4D38A8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5,518,196.42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57CE0" w14:textId="4EFE952C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25,711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FD452E0" w14:textId="780084AB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12,531,128.55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F7C295F" w14:textId="4755E193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29,314,319.72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94C2516" w14:textId="09D55606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47,363,644.69 </w:t>
            </w:r>
          </w:p>
        </w:tc>
      </w:tr>
      <w:tr w:rsidR="003022BF" w:rsidRPr="003022BF" w14:paraId="0D92FBE7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7E7C8994" w14:textId="4416417B" w:rsidR="00373A1D" w:rsidRPr="00771F47" w:rsidRDefault="003022B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1" w:anchor="RANGE!gid=1629368963" w:history="1">
              <w:r w:rsidR="00373A1D"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XI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0AB6F153" w14:textId="40AD0034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3,000,000.00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54A8B0" w14:textId="3362ECC5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8,299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D82FDE" w14:textId="1BC9E9D1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4,375,008.95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B13FE1" w14:textId="3C902127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30,452,902.30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7EC4155" w14:textId="48DC85CA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37,827,911.25 </w:t>
            </w:r>
          </w:p>
        </w:tc>
      </w:tr>
      <w:tr w:rsidR="003022BF" w:rsidRPr="003022BF" w14:paraId="07CE54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F30466B" w14:textId="4BDDA2DF" w:rsidR="00373A1D" w:rsidRPr="00771F47" w:rsidRDefault="003022B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>Other FOs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0A5D12" w14:textId="20B4751A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58,656,743.94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AA17273" w14:textId="2B73C0EF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282,035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B089BA" w14:textId="77279C6B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155,930,557.95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5A0B09C" w14:textId="45A8AF14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376,793,325.02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A43D3F" w14:textId="69BF5E7C" w:rsidR="00373A1D" w:rsidRPr="003022BF" w:rsidRDefault="00373A1D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3022BF">
              <w:rPr>
                <w:rFonts w:ascii="Arial Narrow" w:hAnsi="Arial Narrow" w:cs="Calibri"/>
                <w:sz w:val="18"/>
                <w:szCs w:val="18"/>
              </w:rPr>
              <w:t xml:space="preserve"> 591,380,626.91 </w:t>
            </w:r>
          </w:p>
        </w:tc>
      </w:tr>
      <w:tr w:rsidR="003022BF" w:rsidRPr="003022BF" w14:paraId="0E0623B6" w14:textId="77777777" w:rsidTr="00B32F47">
        <w:trPr>
          <w:trHeight w:val="20"/>
        </w:trPr>
        <w:tc>
          <w:tcPr>
            <w:tcW w:w="883" w:type="pct"/>
            <w:shd w:val="clear" w:color="000000" w:fill="EFEFEF"/>
            <w:vAlign w:val="center"/>
            <w:hideMark/>
          </w:tcPr>
          <w:p w14:paraId="64A98E97" w14:textId="77777777" w:rsidR="003022BF" w:rsidRPr="003022BF" w:rsidRDefault="003022B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31" w:type="pct"/>
            <w:shd w:val="clear" w:color="000000" w:fill="EFEFEF"/>
            <w:vAlign w:val="center"/>
            <w:hideMark/>
          </w:tcPr>
          <w:p w14:paraId="57D02CCB" w14:textId="55DE945D" w:rsidR="003022BF" w:rsidRPr="003022BF" w:rsidRDefault="003022BF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470,326,588.73 </w:t>
            </w:r>
          </w:p>
        </w:tc>
        <w:tc>
          <w:tcPr>
            <w:tcW w:w="572" w:type="pct"/>
            <w:shd w:val="clear" w:color="000000" w:fill="EFEFEF"/>
            <w:vAlign w:val="center"/>
            <w:hideMark/>
          </w:tcPr>
          <w:p w14:paraId="68533DD6" w14:textId="583E96EB" w:rsidR="003022BF" w:rsidRPr="003022BF" w:rsidRDefault="003022BF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386,417 </w:t>
            </w:r>
          </w:p>
        </w:tc>
        <w:tc>
          <w:tcPr>
            <w:tcW w:w="832" w:type="pct"/>
            <w:shd w:val="clear" w:color="000000" w:fill="EFEFEF"/>
            <w:vAlign w:val="center"/>
            <w:hideMark/>
          </w:tcPr>
          <w:p w14:paraId="5C782FA1" w14:textId="05CD048D" w:rsidR="003022BF" w:rsidRPr="003022BF" w:rsidRDefault="003022BF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218,423,601.05 </w:t>
            </w:r>
          </w:p>
        </w:tc>
        <w:tc>
          <w:tcPr>
            <w:tcW w:w="935" w:type="pct"/>
            <w:shd w:val="clear" w:color="000000" w:fill="EFEFEF"/>
            <w:vAlign w:val="center"/>
            <w:hideMark/>
          </w:tcPr>
          <w:p w14:paraId="09C81B1E" w14:textId="6459AFBA" w:rsidR="003022BF" w:rsidRPr="003022BF" w:rsidRDefault="003022BF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637,229,287.16 </w:t>
            </w:r>
          </w:p>
        </w:tc>
        <w:tc>
          <w:tcPr>
            <w:tcW w:w="947" w:type="pct"/>
            <w:shd w:val="clear" w:color="000000" w:fill="EFEFEF"/>
            <w:vAlign w:val="center"/>
            <w:hideMark/>
          </w:tcPr>
          <w:p w14:paraId="5CC50964" w14:textId="1B4DAC85" w:rsidR="003022BF" w:rsidRPr="003022BF" w:rsidRDefault="003022BF" w:rsidP="00B32F4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1,325,979,476.94 </w:t>
            </w:r>
          </w:p>
        </w:tc>
      </w:tr>
    </w:tbl>
    <w:p w14:paraId="1CFDEB4E" w14:textId="40F48C69" w:rsidR="00CC03C0" w:rsidRPr="00B32F47" w:rsidRDefault="00CC03C0" w:rsidP="00B32F47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Inventory Summary is as of 2</w:t>
      </w:r>
      <w:r w:rsidR="009D207F"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5</w:t>
      </w: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September 2021, 4PM</w:t>
      </w:r>
      <w:r w:rsid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</w:p>
    <w:p w14:paraId="0D76943E" w14:textId="0CF3CD55" w:rsidR="00B32F47" w:rsidRDefault="00B32F4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DE702B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4DCE9AFA" w14:textId="5F2FCC66" w:rsidR="00B32F47" w:rsidRDefault="00B32F47" w:rsidP="00B32F4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66B3DEE6" w14:textId="01721E01" w:rsidR="00CC03C0" w:rsidRPr="00E348F9" w:rsidRDefault="00CC03C0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Standby Funds</w:t>
      </w:r>
    </w:p>
    <w:p w14:paraId="3A441375" w14:textId="77777777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403.15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Quick Response Fund (QRF) at the DSWD-Central Office.</w:t>
      </w:r>
    </w:p>
    <w:p w14:paraId="56AC10DE" w14:textId="77777777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8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52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available at DSWD-FOs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 and XI.</w:t>
      </w:r>
    </w:p>
    <w:p w14:paraId="11F5AC96" w14:textId="7F15D2D8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58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66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through inter-FO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augmentation.</w:t>
      </w:r>
    </w:p>
    <w:p w14:paraId="0346A694" w14:textId="77777777" w:rsidR="00E348F9" w:rsidRPr="00E348F9" w:rsidRDefault="00E348F9" w:rsidP="00E348F9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69B8CBDF" w14:textId="5175FE41" w:rsidR="00E348F9" w:rsidRPr="00E348F9" w:rsidRDefault="00E348F9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Prepositioned FFPs and Other Relief Items</w:t>
      </w:r>
    </w:p>
    <w:p w14:paraId="7F4112B1" w14:textId="77777777" w:rsid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70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372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in Disaster Response Centers; of which, 59,838 FFPs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at the National Resource Operations Center (NROC), Pasay City and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10,5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34 FFPs are at the </w:t>
      </w:r>
      <w:proofErr w:type="spellStart"/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Disaster Response Center (VDRC), Cebu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City.</w:t>
      </w:r>
    </w:p>
    <w:p w14:paraId="3A20B213" w14:textId="77777777" w:rsidR="00B5291F" w:rsidRDefault="00B5291F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34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010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at DSWD-FOs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 and XI.</w:t>
      </w:r>
    </w:p>
    <w:p w14:paraId="55B7D9A2" w14:textId="77777777" w:rsidR="00B5291F" w:rsidRDefault="00B5291F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282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035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through inter-FO augmentation.</w:t>
      </w:r>
    </w:p>
    <w:p w14:paraId="73AC18F5" w14:textId="7FB196FC" w:rsidR="00CC03C0" w:rsidRP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₱6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37.2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 million worth of other FNIs at NROC, VDRC and DSWD-FO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warehouses countrywide.</w:t>
      </w:r>
    </w:p>
    <w:p w14:paraId="3797EC0E" w14:textId="77777777" w:rsidR="00E348F9" w:rsidRPr="00E348F9" w:rsidRDefault="00E348F9" w:rsidP="00E3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1A03D1DD" w14:textId="77777777" w:rsidR="00DB0694" w:rsidRDefault="00DB06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279C04" w14:textId="05BF6149" w:rsidR="00443495" w:rsidRPr="000C753A" w:rsidRDefault="002C1DBE" w:rsidP="00B32F47">
      <w:pPr>
        <w:pStyle w:val="NoSpacing"/>
        <w:numPr>
          <w:ilvl w:val="0"/>
          <w:numId w:val="14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41ACDE0C" w14:textId="4ED517CB" w:rsidR="002C1DBE" w:rsidRPr="002C1DBE" w:rsidRDefault="002C1DBE" w:rsidP="00B32F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E6C3E" w14:textId="5BF4054D" w:rsidR="00FD5D92" w:rsidRPr="0032537A" w:rsidRDefault="00D4373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</w:t>
      </w:r>
      <w:r w:rsidR="006A10D5"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268310B9" w14:textId="77777777" w:rsidTr="00FD5D92">
        <w:tc>
          <w:tcPr>
            <w:tcW w:w="2546" w:type="dxa"/>
          </w:tcPr>
          <w:p w14:paraId="35598D05" w14:textId="72F610DB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4783CE02" w14:textId="497B3EEF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5AC0B8FA" w14:textId="77777777" w:rsidTr="00FD5D92">
        <w:tc>
          <w:tcPr>
            <w:tcW w:w="2546" w:type="dxa"/>
            <w:vAlign w:val="center"/>
          </w:tcPr>
          <w:p w14:paraId="0D255590" w14:textId="66A24468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2</w:t>
            </w:r>
            <w:r w:rsidR="001D062E">
              <w:rPr>
                <w:rFonts w:ascii="Arial" w:hAnsi="Arial" w:cs="Arial"/>
                <w:sz w:val="20"/>
                <w:szCs w:val="24"/>
              </w:rPr>
              <w:t>4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340" w:type="dxa"/>
          </w:tcPr>
          <w:p w14:paraId="6C502C4F" w14:textId="3D61A9DD" w:rsidR="00FD5D92" w:rsidRPr="00FD5D92" w:rsidRDefault="00FD5D92" w:rsidP="006A10D5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DSWD</w:t>
            </w:r>
            <w:r w:rsidR="006A10D5">
              <w:rPr>
                <w:rFonts w:ascii="Arial" w:hAnsi="Arial" w:cs="Arial"/>
                <w:sz w:val="20"/>
                <w:szCs w:val="24"/>
              </w:rPr>
              <w:t>-FO V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="006A10D5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 with the affected LGUs for possible augmentation support needed by the affected families.</w:t>
            </w:r>
          </w:p>
        </w:tc>
      </w:tr>
    </w:tbl>
    <w:p w14:paraId="36855831" w14:textId="677C5EDB" w:rsidR="00822BD6" w:rsidRPr="0032537A" w:rsidRDefault="00822BD6" w:rsidP="00B32F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CE78A" w14:textId="2C3328BF" w:rsidR="00FD5D92" w:rsidRPr="0032537A" w:rsidRDefault="00FD5D92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VI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6BEBFDE8" w14:textId="77777777" w:rsidTr="00373A1D">
        <w:tc>
          <w:tcPr>
            <w:tcW w:w="2546" w:type="dxa"/>
          </w:tcPr>
          <w:p w14:paraId="1FEB7C1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28053C6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3861DB5A" w14:textId="77777777" w:rsidTr="00373A1D">
        <w:tc>
          <w:tcPr>
            <w:tcW w:w="2546" w:type="dxa"/>
            <w:vAlign w:val="center"/>
          </w:tcPr>
          <w:p w14:paraId="5778A517" w14:textId="600AE100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340" w:type="dxa"/>
          </w:tcPr>
          <w:p w14:paraId="4A624E47" w14:textId="03FA608A" w:rsidR="0032537A" w:rsidRPr="0032537A" w:rsidRDefault="00FD5D92" w:rsidP="006A10D5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5D92">
              <w:rPr>
                <w:rFonts w:ascii="Arial" w:hAnsi="Arial" w:cs="Arial"/>
                <w:sz w:val="20"/>
                <w:szCs w:val="24"/>
              </w:rPr>
              <w:t>DSWD</w:t>
            </w:r>
            <w:r w:rsidR="006A10D5">
              <w:rPr>
                <w:rFonts w:ascii="Arial" w:hAnsi="Arial" w:cs="Arial"/>
                <w:sz w:val="20"/>
                <w:szCs w:val="24"/>
              </w:rPr>
              <w:t>-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FO XI </w:t>
            </w:r>
            <w:r w:rsidR="006A10D5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 with </w:t>
            </w:r>
            <w:r w:rsidR="006A10D5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FD5D92">
              <w:rPr>
                <w:rFonts w:ascii="Arial" w:hAnsi="Arial" w:cs="Arial"/>
                <w:sz w:val="20"/>
                <w:szCs w:val="24"/>
              </w:rPr>
              <w:t xml:space="preserve">LGU </w:t>
            </w:r>
            <w:r w:rsidR="0032537A">
              <w:rPr>
                <w:rFonts w:ascii="Arial" w:hAnsi="Arial" w:cs="Arial"/>
                <w:sz w:val="20"/>
                <w:szCs w:val="24"/>
              </w:rPr>
              <w:t xml:space="preserve">of Concepcion </w:t>
            </w:r>
            <w:r w:rsidRPr="00FD5D92">
              <w:rPr>
                <w:rFonts w:ascii="Arial" w:hAnsi="Arial" w:cs="Arial"/>
                <w:sz w:val="20"/>
                <w:szCs w:val="24"/>
              </w:rPr>
              <w:t>for possible augmentation support needed by the affected families.</w:t>
            </w:r>
          </w:p>
        </w:tc>
      </w:tr>
    </w:tbl>
    <w:p w14:paraId="508555CD" w14:textId="77777777" w:rsidR="00822BD6" w:rsidRPr="002C1DBE" w:rsidRDefault="00822BD6" w:rsidP="00B32F4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6559B5A" w:rsidR="007F2E58" w:rsidRPr="002F6987" w:rsidRDefault="007F2E58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ffices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3021E" w14:textId="77777777" w:rsidR="008B67DD" w:rsidRDefault="00A33CB3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53E9BED4" w:rsidR="001D062E" w:rsidRPr="008F6E9B" w:rsidRDefault="001D062E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E9BAC54" w:rsidR="007F2E58" w:rsidRPr="00D23BDC" w:rsidRDefault="001D062E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2"/>
      <w:footerReference w:type="defaul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EAEE" w14:textId="77777777" w:rsidR="005747E4" w:rsidRDefault="005747E4" w:rsidP="00C12445">
      <w:pPr>
        <w:spacing w:after="0" w:line="240" w:lineRule="auto"/>
      </w:pPr>
      <w:r>
        <w:separator/>
      </w:r>
    </w:p>
  </w:endnote>
  <w:endnote w:type="continuationSeparator" w:id="0">
    <w:p w14:paraId="07942392" w14:textId="77777777" w:rsidR="005747E4" w:rsidRDefault="005747E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373A1D" w:rsidRPr="00B30B91" w:rsidRDefault="00373A1D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7307E46F" w:rsidR="00373A1D" w:rsidRPr="00114376" w:rsidRDefault="00373A1D" w:rsidP="002F1192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#3 on the </w:t>
            </w:r>
            <w:r w:rsidRPr="002F1192">
              <w:rPr>
                <w:sz w:val="16"/>
                <w:szCs w:val="20"/>
              </w:rPr>
              <w:t>Ef</w:t>
            </w:r>
            <w:r>
              <w:rPr>
                <w:sz w:val="16"/>
                <w:szCs w:val="20"/>
              </w:rPr>
              <w:t xml:space="preserve">fects of LPA embedded along ITCZ </w:t>
            </w:r>
            <w:r w:rsidRPr="002F1192">
              <w:rPr>
                <w:sz w:val="16"/>
                <w:szCs w:val="20"/>
              </w:rPr>
              <w:t>as of 2</w:t>
            </w:r>
            <w:r>
              <w:rPr>
                <w:sz w:val="16"/>
                <w:szCs w:val="20"/>
              </w:rPr>
              <w:t>5</w:t>
            </w:r>
            <w:r w:rsidRPr="002F1192">
              <w:rPr>
                <w:sz w:val="16"/>
                <w:szCs w:val="20"/>
              </w:rPr>
              <w:t xml:space="preserve"> September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F14ADB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F14ADB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F233" w14:textId="77777777" w:rsidR="005747E4" w:rsidRDefault="005747E4" w:rsidP="00C12445">
      <w:pPr>
        <w:spacing w:after="0" w:line="240" w:lineRule="auto"/>
      </w:pPr>
      <w:r>
        <w:separator/>
      </w:r>
    </w:p>
  </w:footnote>
  <w:footnote w:type="continuationSeparator" w:id="0">
    <w:p w14:paraId="74500AFA" w14:textId="77777777" w:rsidR="005747E4" w:rsidRDefault="005747E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73A1D" w:rsidRDefault="00373A1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73A1D" w:rsidRDefault="00373A1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73A1D" w:rsidRDefault="00373A1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73A1D" w:rsidRDefault="0037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3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6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4"/>
  </w:num>
  <w:num w:numId="46">
    <w:abstractNumId w:val="32"/>
  </w:num>
  <w:num w:numId="47">
    <w:abstractNumId w:val="4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50B98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4E6F"/>
    <w:rsid w:val="00DC1285"/>
    <w:rsid w:val="00DC2700"/>
    <w:rsid w:val="00DC3966"/>
    <w:rsid w:val="00DD7925"/>
    <w:rsid w:val="00DE0166"/>
    <w:rsid w:val="00DE702B"/>
    <w:rsid w:val="00E0043D"/>
    <w:rsid w:val="00E042EF"/>
    <w:rsid w:val="00E11797"/>
    <w:rsid w:val="00E14469"/>
    <w:rsid w:val="00E26E07"/>
    <w:rsid w:val="00E348F9"/>
    <w:rsid w:val="00E368E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14ADB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SSF%20as%20of%2025%20September%202021,%201600H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Downloads\SSF%20as%20of%2025%20September%202021,%201600H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CER\Downloads\SSF%20as%20of%2025%20September%202021,%201600H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SSF%20as%20of%2025%20September%202021,%201600H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11C4-1A1A-4FB6-B8E0-C542513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20</cp:revision>
  <cp:lastPrinted>2021-07-05T02:11:00Z</cp:lastPrinted>
  <dcterms:created xsi:type="dcterms:W3CDTF">2021-09-24T04:31:00Z</dcterms:created>
  <dcterms:modified xsi:type="dcterms:W3CDTF">2021-09-25T09:43:00Z</dcterms:modified>
</cp:coreProperties>
</file>