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01B7B30B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153E93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FD7F6D9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40D60">
        <w:rPr>
          <w:rFonts w:ascii="Arial" w:hAnsi="Arial" w:cs="Arial"/>
          <w:b/>
          <w:sz w:val="32"/>
          <w:szCs w:val="32"/>
        </w:rPr>
        <w:t>Tagoloan</w:t>
      </w:r>
      <w:proofErr w:type="spellEnd"/>
      <w:r w:rsidRPr="00E40D60">
        <w:rPr>
          <w:rFonts w:ascii="Arial" w:hAnsi="Arial" w:cs="Arial"/>
          <w:b/>
          <w:sz w:val="32"/>
          <w:szCs w:val="32"/>
        </w:rPr>
        <w:t>, Misamis Oriental</w:t>
      </w:r>
    </w:p>
    <w:p w14:paraId="2184282D" w14:textId="77777777" w:rsidR="00153E93" w:rsidRPr="00882AD2" w:rsidRDefault="00153E93" w:rsidP="00153E93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December</w:t>
      </w:r>
      <w:r w:rsidRPr="00882AD2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05611B22" w:rsidR="00261A8B" w:rsidRPr="00153E93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B13043B" w14:textId="77777777" w:rsidR="00153E93" w:rsidRDefault="00153E93" w:rsidP="001056F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1DB55C8" w14:textId="4DE37BD9" w:rsidR="001056FC" w:rsidRPr="001056FC" w:rsidRDefault="001056FC" w:rsidP="001056F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056FC">
        <w:rPr>
          <w:rFonts w:ascii="Arial" w:hAnsi="Arial" w:cs="Arial"/>
          <w:sz w:val="24"/>
          <w:szCs w:val="24"/>
          <w:lang w:val="en-US"/>
        </w:rPr>
        <w:t xml:space="preserve">It was reported on 13 September 2021 that there were three (3) separate fire incidents involving three (3) barangays in </w:t>
      </w:r>
      <w:proofErr w:type="spellStart"/>
      <w:r w:rsidRPr="001056FC">
        <w:rPr>
          <w:rFonts w:ascii="Arial" w:hAnsi="Arial" w:cs="Arial"/>
          <w:sz w:val="24"/>
          <w:szCs w:val="24"/>
          <w:lang w:val="en-US"/>
        </w:rPr>
        <w:t>Tagoloan</w:t>
      </w:r>
      <w:proofErr w:type="spellEnd"/>
      <w:r w:rsidRPr="001056FC">
        <w:rPr>
          <w:rFonts w:ascii="Arial" w:hAnsi="Arial" w:cs="Arial"/>
          <w:sz w:val="24"/>
          <w:szCs w:val="24"/>
          <w:lang w:val="en-US"/>
        </w:rPr>
        <w:t xml:space="preserve">, Misamis Oriental. The first incident happened at 12:06 PM on 18 August 2021 at Zone 1, </w:t>
      </w:r>
      <w:proofErr w:type="spellStart"/>
      <w:r w:rsidRPr="001056FC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1056F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Casinglot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affecting 41 families. A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nother </w:t>
      </w:r>
      <w:r>
        <w:rPr>
          <w:rFonts w:ascii="Arial" w:hAnsi="Arial" w:cs="Arial"/>
          <w:sz w:val="24"/>
          <w:szCs w:val="24"/>
          <w:lang w:val="en-US"/>
        </w:rPr>
        <w:t xml:space="preserve">fire </w:t>
      </w:r>
      <w:r w:rsidRPr="001056FC">
        <w:rPr>
          <w:rFonts w:ascii="Arial" w:hAnsi="Arial" w:cs="Arial"/>
          <w:sz w:val="24"/>
          <w:szCs w:val="24"/>
          <w:lang w:val="en-US"/>
        </w:rPr>
        <w:t>incident</w:t>
      </w:r>
      <w:r>
        <w:rPr>
          <w:rFonts w:ascii="Arial" w:hAnsi="Arial" w:cs="Arial"/>
          <w:sz w:val="24"/>
          <w:szCs w:val="24"/>
          <w:lang w:val="en-US"/>
        </w:rPr>
        <w:t xml:space="preserve"> occurred on 19 August 2021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 Z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one 6A </w:t>
      </w:r>
      <w:proofErr w:type="spellStart"/>
      <w:r w:rsidRPr="001056FC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056FC">
        <w:rPr>
          <w:rFonts w:ascii="Arial" w:hAnsi="Arial" w:cs="Arial"/>
          <w:sz w:val="24"/>
          <w:szCs w:val="24"/>
          <w:lang w:val="en-US"/>
        </w:rPr>
        <w:t>Natumolan</w:t>
      </w:r>
      <w:proofErr w:type="spellEnd"/>
      <w:r w:rsidRPr="001056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with 10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 families</w:t>
      </w:r>
      <w:r>
        <w:rPr>
          <w:rFonts w:ascii="Arial" w:hAnsi="Arial" w:cs="Arial"/>
          <w:sz w:val="24"/>
          <w:szCs w:val="24"/>
          <w:lang w:val="en-US"/>
        </w:rPr>
        <w:t xml:space="preserve"> affected. Lastly, on 26 August 2021 at 8:00 AM, the 3</w:t>
      </w:r>
      <w:r w:rsidRPr="001056FC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fire incident happened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 at Purok Rosario where</w:t>
      </w:r>
      <w:r>
        <w:rPr>
          <w:rFonts w:ascii="Arial" w:hAnsi="Arial" w:cs="Arial"/>
          <w:sz w:val="24"/>
          <w:szCs w:val="24"/>
          <w:lang w:val="en-US"/>
        </w:rPr>
        <w:t>by</w:t>
      </w:r>
      <w:r w:rsidRPr="001056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one </w:t>
      </w:r>
      <w:r w:rsidRPr="001056FC">
        <w:rPr>
          <w:rFonts w:ascii="Arial" w:hAnsi="Arial" w:cs="Arial"/>
          <w:sz w:val="24"/>
          <w:szCs w:val="24"/>
          <w:lang w:val="en-US"/>
        </w:rPr>
        <w:t>(1) family was affected.</w:t>
      </w:r>
    </w:p>
    <w:p w14:paraId="782B05D8" w14:textId="77777777" w:rsidR="00153E93" w:rsidRDefault="00153E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33239C2C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810ED93" w:rsidR="00FC091D" w:rsidRPr="00153E93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8E26B4" w14:textId="77777777" w:rsidR="00153E93" w:rsidRDefault="00153E9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3962174" w:rsidR="00E0043D" w:rsidRPr="00153E93" w:rsidRDefault="00153E9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 w:rsidR="001056FC" w:rsidRPr="00153E93">
        <w:rPr>
          <w:rFonts w:ascii="Arial" w:eastAsia="Arial" w:hAnsi="Arial" w:cs="Arial"/>
          <w:b/>
          <w:sz w:val="24"/>
          <w:szCs w:val="24"/>
        </w:rPr>
        <w:t>52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153E93">
        <w:rPr>
          <w:rFonts w:ascii="Arial" w:eastAsia="Arial" w:hAnsi="Arial" w:cs="Arial"/>
          <w:sz w:val="24"/>
          <w:szCs w:val="24"/>
        </w:rPr>
        <w:t>or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1056FC" w:rsidRPr="00153E93">
        <w:rPr>
          <w:rFonts w:ascii="Arial" w:eastAsia="Arial" w:hAnsi="Arial" w:cs="Arial"/>
          <w:b/>
          <w:sz w:val="24"/>
          <w:szCs w:val="24"/>
        </w:rPr>
        <w:t>260 persons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153E93">
        <w:rPr>
          <w:rFonts w:ascii="Arial" w:eastAsia="Arial" w:hAnsi="Arial" w:cs="Arial"/>
          <w:sz w:val="24"/>
          <w:szCs w:val="24"/>
        </w:rPr>
        <w:t xml:space="preserve">in </w:t>
      </w:r>
      <w:r w:rsidR="001056FC" w:rsidRPr="00153E93">
        <w:rPr>
          <w:rFonts w:ascii="Arial" w:eastAsia="Arial" w:hAnsi="Arial" w:cs="Arial"/>
          <w:b/>
          <w:bCs/>
          <w:sz w:val="24"/>
          <w:szCs w:val="24"/>
        </w:rPr>
        <w:t>three (3</w:t>
      </w:r>
      <w:r w:rsidR="007E75CF" w:rsidRPr="00153E93">
        <w:rPr>
          <w:rFonts w:ascii="Arial" w:eastAsia="Arial" w:hAnsi="Arial" w:cs="Arial"/>
          <w:b/>
          <w:bCs/>
          <w:sz w:val="24"/>
          <w:szCs w:val="24"/>
        </w:rPr>
        <w:t>) barangays</w:t>
      </w:r>
      <w:r w:rsidR="007E75CF" w:rsidRPr="00153E93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1056FC" w:rsidRPr="00153E93">
        <w:rPr>
          <w:rFonts w:ascii="Arial" w:eastAsia="Arial" w:hAnsi="Arial" w:cs="Arial"/>
          <w:b/>
          <w:sz w:val="24"/>
          <w:szCs w:val="24"/>
        </w:rPr>
        <w:t>Tagoloan</w:t>
      </w:r>
      <w:proofErr w:type="spellEnd"/>
      <w:r w:rsidR="001056FC" w:rsidRPr="00153E93">
        <w:rPr>
          <w:rFonts w:ascii="Arial" w:eastAsia="Arial" w:hAnsi="Arial" w:cs="Arial"/>
          <w:b/>
          <w:sz w:val="24"/>
          <w:szCs w:val="24"/>
        </w:rPr>
        <w:t xml:space="preserve">, </w:t>
      </w:r>
      <w:r w:rsidR="00AF5905" w:rsidRPr="00153E93">
        <w:rPr>
          <w:rFonts w:ascii="Arial" w:eastAsia="Arial" w:hAnsi="Arial" w:cs="Arial"/>
          <w:b/>
          <w:sz w:val="24"/>
          <w:szCs w:val="24"/>
        </w:rPr>
        <w:t xml:space="preserve">Misamis Oriental </w:t>
      </w:r>
      <w:r w:rsidR="00E0043D" w:rsidRPr="00153E9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5"/>
        <w:gridCol w:w="1207"/>
      </w:tblGrid>
      <w:tr w:rsidR="001056FC" w:rsidRPr="001056FC" w14:paraId="6D21FCCC" w14:textId="77777777" w:rsidTr="001056FC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9FC5E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9684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056FC" w:rsidRPr="001056FC" w14:paraId="29C4BF39" w14:textId="77777777" w:rsidTr="001056FC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0B8C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98E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D139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4E4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56FC" w:rsidRPr="001056FC" w14:paraId="59558B69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75ED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C35C" w14:textId="16CA1543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9E73" w14:textId="634BF8AA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8FB3" w14:textId="2F007316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</w:tr>
      <w:tr w:rsidR="001056FC" w:rsidRPr="001056FC" w14:paraId="44DEA412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1CA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0C07" w14:textId="2E9ADDBF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4395" w14:textId="2EE1624C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935" w14:textId="5D3AEE25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</w:tr>
      <w:tr w:rsidR="001056FC" w:rsidRPr="001056FC" w14:paraId="178FAC38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1AC3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649D" w14:textId="6339C566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903C" w14:textId="2452D453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264A" w14:textId="097C65BB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</w:tr>
      <w:tr w:rsidR="001056FC" w:rsidRPr="001056FC" w14:paraId="79C99C74" w14:textId="77777777" w:rsidTr="001056FC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90D2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B621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1B48" w14:textId="4405598A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6668" w14:textId="2A16D1DB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8809" w14:textId="6190CA78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</w:tr>
    </w:tbl>
    <w:p w14:paraId="0DFF31BA" w14:textId="219722DB" w:rsidR="00D41206" w:rsidRPr="00E0043D" w:rsidRDefault="00D41206" w:rsidP="00153E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456F6669" w:rsidR="00261A8B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DB8ABA0" w14:textId="77777777" w:rsidR="00153E93" w:rsidRPr="00153E93" w:rsidRDefault="00153E93" w:rsidP="00153E9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156ED783" w:rsidR="00524481" w:rsidRPr="00153E93" w:rsidRDefault="00153E93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24481" w:rsidRPr="00153E93">
        <w:rPr>
          <w:rFonts w:ascii="Arial" w:hAnsi="Arial" w:cs="Arial"/>
          <w:sz w:val="24"/>
          <w:szCs w:val="24"/>
        </w:rPr>
        <w:t xml:space="preserve"> </w:t>
      </w:r>
      <w:r w:rsidR="0020001D">
        <w:rPr>
          <w:rFonts w:ascii="Arial" w:eastAsia="Arial" w:hAnsi="Arial" w:cs="Arial"/>
          <w:b/>
          <w:sz w:val="24"/>
          <w:szCs w:val="24"/>
        </w:rPr>
        <w:t>42</w:t>
      </w:r>
      <w:r w:rsidR="001056FC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153E9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524481" w:rsidRPr="00153E93">
        <w:rPr>
          <w:rFonts w:ascii="Arial" w:eastAsia="Arial" w:hAnsi="Arial" w:cs="Arial"/>
          <w:sz w:val="24"/>
          <w:szCs w:val="24"/>
        </w:rPr>
        <w:t>or</w:t>
      </w:r>
      <w:r w:rsidR="00524481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20001D">
        <w:rPr>
          <w:rFonts w:ascii="Arial" w:eastAsia="Arial" w:hAnsi="Arial" w:cs="Arial"/>
          <w:b/>
          <w:sz w:val="24"/>
          <w:szCs w:val="24"/>
        </w:rPr>
        <w:t>210</w:t>
      </w:r>
      <w:r w:rsidR="00524481" w:rsidRPr="00153E93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>sought</w:t>
      </w:r>
      <w:r w:rsidR="00524481" w:rsidRPr="00153E93">
        <w:rPr>
          <w:rFonts w:ascii="Arial" w:hAnsi="Arial" w:cs="Arial"/>
          <w:sz w:val="24"/>
          <w:szCs w:val="24"/>
        </w:rPr>
        <w:t xml:space="preserve"> temporary shelter at the </w:t>
      </w:r>
      <w:proofErr w:type="spellStart"/>
      <w:r w:rsidR="001056FC" w:rsidRPr="00153E93">
        <w:rPr>
          <w:rFonts w:ascii="Arial" w:hAnsi="Arial" w:cs="Arial"/>
          <w:b/>
          <w:bCs/>
          <w:sz w:val="24"/>
          <w:szCs w:val="24"/>
        </w:rPr>
        <w:t>Casinglot</w:t>
      </w:r>
      <w:proofErr w:type="spellEnd"/>
      <w:r w:rsidR="001056FC" w:rsidRPr="00153E93">
        <w:rPr>
          <w:rFonts w:ascii="Arial" w:hAnsi="Arial" w:cs="Arial"/>
          <w:b/>
          <w:bCs/>
          <w:sz w:val="24"/>
          <w:szCs w:val="24"/>
        </w:rPr>
        <w:t xml:space="preserve"> Elementary School </w:t>
      </w:r>
      <w:r w:rsidR="00524481" w:rsidRPr="00153E93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1056FC" w:rsidRPr="001056FC" w14:paraId="7819203E" w14:textId="77777777" w:rsidTr="001056FC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A52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9891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A148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56FC" w:rsidRPr="001056FC" w14:paraId="0E394E24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999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52E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F6A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056FC" w:rsidRPr="001056FC" w14:paraId="0C14DF7F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1C7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9B2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F9AA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CD17" w14:textId="07B95F30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6FC" w:rsidRPr="001056FC" w14:paraId="17DEE347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D372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7AC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1CC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B51C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D853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CA3C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30B8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0001D" w:rsidRPr="001056FC" w14:paraId="02F3EC51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3E40" w14:textId="77777777" w:rsidR="0020001D" w:rsidRPr="001056FC" w:rsidRDefault="0020001D" w:rsidP="002000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E123" w14:textId="6EFE6166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C4EC" w14:textId="62BD73EF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56F8" w14:textId="468885D7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3BA4" w14:textId="44AD7F01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CA5B" w14:textId="5A164AC1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05B5" w14:textId="7FA640F8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20001D" w:rsidRPr="001056FC" w14:paraId="4426281D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80C4" w14:textId="77777777" w:rsidR="0020001D" w:rsidRPr="001056FC" w:rsidRDefault="0020001D" w:rsidP="0020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1D8E4" w14:textId="4E4A024E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6CB5" w14:textId="6917BD03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3957" w14:textId="1D9FE2EB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936C" w14:textId="1E650F1C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87C1" w14:textId="0C0C3968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B1C8" w14:textId="268389B4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20001D" w:rsidRPr="001056FC" w14:paraId="3E465597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C4F1" w14:textId="77777777" w:rsidR="0020001D" w:rsidRPr="001056FC" w:rsidRDefault="0020001D" w:rsidP="002000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1451" w14:textId="47D5CD9D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14D6" w14:textId="76B5AEE7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0C11" w14:textId="6A73E99E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CB61B" w14:textId="21B1D06E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D9AF" w14:textId="3D352C77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1167" w14:textId="709E945F" w:rsidR="0020001D" w:rsidRPr="001056FC" w:rsidRDefault="0020001D" w:rsidP="002000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056FC" w:rsidRPr="001056FC" w14:paraId="52BB039F" w14:textId="77777777" w:rsidTr="001056F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4C09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C85D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827D" w14:textId="5E104819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9BB3" w14:textId="6AB29E8A" w:rsidR="001056FC" w:rsidRPr="001056FC" w:rsidRDefault="0020001D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056FC"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F4E7" w14:textId="14D1C198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F158" w14:textId="0CFAFEFF" w:rsidR="001056FC" w:rsidRPr="001056FC" w:rsidRDefault="0020001D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056FC"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BC5A" w14:textId="03326529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7415" w14:textId="0D5389A8" w:rsidR="001056FC" w:rsidRPr="001056FC" w:rsidRDefault="0020001D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056FC"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6A3D4EB" w14:textId="1C168D7A" w:rsidR="001056FC" w:rsidRDefault="001056FC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3E522B" w14:textId="79E31515" w:rsidR="00153E93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ACC230" w14:textId="59A27325" w:rsidR="00153E93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2825C3" w14:textId="473D8314" w:rsidR="00153E93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DA7CEB" w14:textId="61F7175D" w:rsidR="00153E93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483C60" w14:textId="77777777" w:rsidR="00153E93" w:rsidRPr="008A5D70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65ADB6B0" w:rsidR="00333C2B" w:rsidRPr="00153E93" w:rsidRDefault="00333C2B" w:rsidP="00153E9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73A856CB" w14:textId="77777777" w:rsidR="00153E93" w:rsidRDefault="00153E93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09D0A7F" w:rsidR="00E0043D" w:rsidRPr="0020001D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20001D">
        <w:rPr>
          <w:rFonts w:ascii="Arial" w:hAnsi="Arial" w:cs="Arial"/>
          <w:sz w:val="24"/>
          <w:szCs w:val="24"/>
        </w:rPr>
        <w:t xml:space="preserve">A total of </w:t>
      </w:r>
      <w:r w:rsidR="002A06A3" w:rsidRPr="0020001D">
        <w:rPr>
          <w:rFonts w:ascii="Arial" w:hAnsi="Arial" w:cs="Arial"/>
          <w:b/>
          <w:sz w:val="24"/>
          <w:szCs w:val="24"/>
        </w:rPr>
        <w:t>41</w:t>
      </w:r>
      <w:r w:rsidRPr="0020001D">
        <w:rPr>
          <w:rFonts w:ascii="Arial" w:hAnsi="Arial" w:cs="Arial"/>
          <w:b/>
          <w:sz w:val="24"/>
          <w:szCs w:val="24"/>
        </w:rPr>
        <w:t xml:space="preserve"> houses </w:t>
      </w:r>
      <w:r w:rsidRPr="0020001D">
        <w:rPr>
          <w:rFonts w:ascii="Arial" w:hAnsi="Arial" w:cs="Arial"/>
          <w:sz w:val="24"/>
          <w:szCs w:val="24"/>
        </w:rPr>
        <w:t>were</w:t>
      </w:r>
      <w:r w:rsidRPr="0020001D">
        <w:rPr>
          <w:rFonts w:ascii="Arial" w:hAnsi="Arial" w:cs="Arial"/>
          <w:b/>
          <w:sz w:val="24"/>
          <w:szCs w:val="24"/>
        </w:rPr>
        <w:t xml:space="preserve"> </w:t>
      </w:r>
      <w:r w:rsidRPr="0020001D">
        <w:rPr>
          <w:rFonts w:ascii="Arial" w:hAnsi="Arial" w:cs="Arial"/>
          <w:sz w:val="24"/>
          <w:szCs w:val="24"/>
        </w:rPr>
        <w:t>damaged</w:t>
      </w:r>
      <w:r w:rsidR="00D01516" w:rsidRPr="0020001D">
        <w:rPr>
          <w:rFonts w:ascii="Arial" w:hAnsi="Arial" w:cs="Arial"/>
          <w:sz w:val="24"/>
          <w:szCs w:val="24"/>
        </w:rPr>
        <w:t xml:space="preserve"> by the </w:t>
      </w:r>
      <w:r w:rsidR="00B10967" w:rsidRPr="0020001D">
        <w:rPr>
          <w:rFonts w:ascii="Arial" w:hAnsi="Arial" w:cs="Arial"/>
          <w:sz w:val="24"/>
          <w:szCs w:val="24"/>
        </w:rPr>
        <w:t>fire</w:t>
      </w:r>
      <w:r w:rsidR="002A06A3" w:rsidRPr="0020001D">
        <w:rPr>
          <w:rFonts w:ascii="Arial" w:hAnsi="Arial" w:cs="Arial"/>
          <w:sz w:val="24"/>
          <w:szCs w:val="24"/>
        </w:rPr>
        <w:t xml:space="preserve">; of which 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25 </w:t>
      </w:r>
      <w:r w:rsidR="002A06A3" w:rsidRPr="0020001D">
        <w:rPr>
          <w:rFonts w:ascii="Arial" w:hAnsi="Arial" w:cs="Arial"/>
          <w:sz w:val="24"/>
          <w:szCs w:val="24"/>
        </w:rPr>
        <w:t>are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 totally damaged</w:t>
      </w:r>
      <w:r w:rsidR="002A06A3" w:rsidRPr="0020001D">
        <w:rPr>
          <w:rFonts w:ascii="Arial" w:hAnsi="Arial" w:cs="Arial"/>
          <w:sz w:val="24"/>
          <w:szCs w:val="24"/>
        </w:rPr>
        <w:t xml:space="preserve"> and 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16 </w:t>
      </w:r>
      <w:r w:rsidR="002A06A3" w:rsidRPr="0020001D">
        <w:rPr>
          <w:rFonts w:ascii="Arial" w:hAnsi="Arial" w:cs="Arial"/>
          <w:sz w:val="24"/>
          <w:szCs w:val="24"/>
        </w:rPr>
        <w:t xml:space="preserve">are </w:t>
      </w:r>
      <w:r w:rsidR="002A06A3" w:rsidRPr="0020001D">
        <w:rPr>
          <w:rFonts w:ascii="Arial" w:hAnsi="Arial" w:cs="Arial"/>
          <w:b/>
          <w:sz w:val="24"/>
          <w:szCs w:val="24"/>
        </w:rPr>
        <w:t>partially damaged</w:t>
      </w:r>
      <w:r w:rsidR="006E1975" w:rsidRPr="0020001D">
        <w:rPr>
          <w:rFonts w:ascii="Arial" w:hAnsi="Arial" w:cs="Arial"/>
          <w:sz w:val="24"/>
          <w:szCs w:val="24"/>
        </w:rPr>
        <w:t xml:space="preserve"> </w:t>
      </w:r>
      <w:r w:rsidRPr="0020001D">
        <w:rPr>
          <w:rFonts w:ascii="Arial" w:hAnsi="Arial" w:cs="Arial"/>
          <w:sz w:val="24"/>
          <w:szCs w:val="24"/>
        </w:rPr>
        <w:t xml:space="preserve">(see Table </w:t>
      </w:r>
      <w:r w:rsidR="002A06A3" w:rsidRPr="0020001D">
        <w:rPr>
          <w:rFonts w:ascii="Arial" w:hAnsi="Arial" w:cs="Arial"/>
          <w:sz w:val="24"/>
          <w:szCs w:val="24"/>
        </w:rPr>
        <w:t>3</w:t>
      </w:r>
      <w:r w:rsidRPr="0020001D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F57526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A06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1056FC" w:rsidRPr="001056FC" w14:paraId="3175226F" w14:textId="77777777" w:rsidTr="00153E93">
        <w:trPr>
          <w:trHeight w:val="20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9FF6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84EC" w14:textId="1D16215F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056FC" w:rsidRPr="001056FC" w14:paraId="43517A65" w14:textId="77777777" w:rsidTr="00153E93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684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4274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48DC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0F45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056FC" w:rsidRPr="001056FC" w14:paraId="1F06CD9E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000A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4D56" w14:textId="37C22DA9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9D95" w14:textId="54BFED14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1F97" w14:textId="6E10ABB5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1056FC" w:rsidRPr="001056FC" w14:paraId="407668BA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FBD1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5D77" w14:textId="139D6A86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5E39" w14:textId="0473984E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68D4" w14:textId="066C8050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1056FC" w:rsidRPr="001056FC" w14:paraId="14588A6A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8E0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5517" w14:textId="4469D3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2AF2" w14:textId="5336CA95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6CB7" w14:textId="41870E24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1056FC" w:rsidRPr="001056FC" w14:paraId="0F278F39" w14:textId="77777777" w:rsidTr="001056FC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C77F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1574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AD1B" w14:textId="310B9598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8D7F" w14:textId="297AF4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23CF" w14:textId="156DE84E" w:rsidR="001056FC" w:rsidRPr="001056FC" w:rsidRDefault="001056FC" w:rsidP="00105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</w:tbl>
    <w:p w14:paraId="11CE74DB" w14:textId="54465BD2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32C6D305" w:rsidR="00D16926" w:rsidRPr="00153E93" w:rsidRDefault="00D10A86" w:rsidP="00153E9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69148DD6" w14:textId="77777777" w:rsidR="00153E93" w:rsidRDefault="00153E93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5D1BCBE8" w14:textId="714116CC" w:rsidR="00842D9E" w:rsidRPr="0020001D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20001D">
        <w:rPr>
          <w:rFonts w:ascii="Arial" w:eastAsia="Arial" w:hAnsi="Arial" w:cs="Arial"/>
          <w:sz w:val="24"/>
          <w:szCs w:val="24"/>
        </w:rPr>
        <w:t xml:space="preserve">A total of </w:t>
      </w:r>
      <w:r w:rsidRPr="0020001D">
        <w:rPr>
          <w:rFonts w:ascii="Arial" w:eastAsia="Arial" w:hAnsi="Arial" w:cs="Arial"/>
          <w:b/>
          <w:sz w:val="24"/>
          <w:szCs w:val="24"/>
        </w:rPr>
        <w:t>₱</w:t>
      </w:r>
      <w:r w:rsidR="002A06A3" w:rsidRPr="0020001D">
        <w:rPr>
          <w:rFonts w:ascii="Arial" w:eastAsia="Arial" w:hAnsi="Arial" w:cs="Arial"/>
          <w:b/>
          <w:sz w:val="24"/>
          <w:szCs w:val="24"/>
        </w:rPr>
        <w:t xml:space="preserve">1,442,941.36 </w:t>
      </w:r>
      <w:r w:rsidRPr="0020001D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20001D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sz w:val="24"/>
          <w:szCs w:val="24"/>
        </w:rPr>
        <w:t xml:space="preserve">which, </w:t>
      </w:r>
      <w:r w:rsidRPr="0020001D">
        <w:rPr>
          <w:rFonts w:ascii="Arial" w:eastAsia="Arial" w:hAnsi="Arial" w:cs="Arial"/>
          <w:b/>
          <w:sz w:val="24"/>
          <w:szCs w:val="24"/>
        </w:rPr>
        <w:t>₱</w:t>
      </w:r>
      <w:r w:rsidR="002A06A3" w:rsidRPr="0020001D">
        <w:rPr>
          <w:rFonts w:ascii="Arial" w:eastAsia="Arial" w:hAnsi="Arial" w:cs="Arial"/>
          <w:b/>
          <w:sz w:val="24"/>
          <w:szCs w:val="24"/>
        </w:rPr>
        <w:t>282,941.36</w:t>
      </w:r>
      <w:r w:rsidR="00203CAB" w:rsidRPr="0020001D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sz w:val="24"/>
          <w:szCs w:val="24"/>
        </w:rPr>
        <w:t xml:space="preserve">from </w:t>
      </w:r>
      <w:r w:rsidRPr="0020001D">
        <w:rPr>
          <w:rFonts w:ascii="Arial" w:eastAsia="Arial" w:hAnsi="Arial" w:cs="Arial"/>
          <w:b/>
          <w:sz w:val="24"/>
          <w:szCs w:val="24"/>
        </w:rPr>
        <w:t>DSWD</w:t>
      </w:r>
      <w:r w:rsidRPr="0020001D">
        <w:rPr>
          <w:rFonts w:ascii="Arial" w:eastAsia="Arial" w:hAnsi="Arial" w:cs="Arial"/>
          <w:sz w:val="24"/>
          <w:szCs w:val="24"/>
        </w:rPr>
        <w:t xml:space="preserve"> and </w:t>
      </w:r>
      <w:r w:rsidRPr="0020001D">
        <w:rPr>
          <w:rFonts w:ascii="Arial" w:eastAsia="Arial" w:hAnsi="Arial" w:cs="Arial"/>
          <w:b/>
          <w:sz w:val="24"/>
          <w:szCs w:val="24"/>
        </w:rPr>
        <w:t>₱</w:t>
      </w:r>
      <w:r w:rsidR="002A06A3" w:rsidRPr="0020001D">
        <w:rPr>
          <w:rFonts w:ascii="Arial" w:eastAsia="Arial" w:hAnsi="Arial" w:cs="Arial"/>
          <w:b/>
          <w:sz w:val="24"/>
          <w:szCs w:val="24"/>
        </w:rPr>
        <w:t xml:space="preserve">1,160,000.00 </w:t>
      </w:r>
      <w:r w:rsidRPr="0020001D">
        <w:rPr>
          <w:rFonts w:ascii="Arial" w:eastAsia="Arial" w:hAnsi="Arial" w:cs="Arial"/>
          <w:sz w:val="24"/>
          <w:szCs w:val="24"/>
        </w:rPr>
        <w:t>from</w:t>
      </w:r>
      <w:r w:rsidR="003C2F47" w:rsidRPr="0020001D">
        <w:rPr>
          <w:rFonts w:ascii="Arial" w:eastAsia="Arial" w:hAnsi="Arial" w:cs="Arial"/>
          <w:sz w:val="24"/>
          <w:szCs w:val="24"/>
        </w:rPr>
        <w:t xml:space="preserve"> the</w:t>
      </w:r>
      <w:r w:rsidRPr="0020001D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b/>
          <w:sz w:val="24"/>
          <w:szCs w:val="24"/>
        </w:rPr>
        <w:t>L</w:t>
      </w:r>
      <w:r w:rsidR="00DB04A7" w:rsidRPr="0020001D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20001D">
        <w:rPr>
          <w:rFonts w:ascii="Arial" w:eastAsia="Arial" w:hAnsi="Arial" w:cs="Arial"/>
          <w:b/>
          <w:sz w:val="24"/>
          <w:szCs w:val="24"/>
        </w:rPr>
        <w:t>G</w:t>
      </w:r>
      <w:r w:rsidR="00DB04A7" w:rsidRPr="0020001D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20001D">
        <w:rPr>
          <w:rFonts w:ascii="Arial" w:eastAsia="Arial" w:hAnsi="Arial" w:cs="Arial"/>
          <w:b/>
          <w:sz w:val="24"/>
          <w:szCs w:val="24"/>
        </w:rPr>
        <w:t>U</w:t>
      </w:r>
      <w:r w:rsidR="00DB04A7" w:rsidRPr="0020001D">
        <w:rPr>
          <w:rFonts w:ascii="Arial" w:eastAsia="Arial" w:hAnsi="Arial" w:cs="Arial"/>
          <w:b/>
          <w:sz w:val="24"/>
          <w:szCs w:val="24"/>
        </w:rPr>
        <w:t>nit (LGU)</w:t>
      </w:r>
      <w:r w:rsidRPr="0020001D">
        <w:rPr>
          <w:rFonts w:ascii="Arial" w:eastAsia="Arial" w:hAnsi="Arial" w:cs="Arial"/>
          <w:sz w:val="24"/>
          <w:szCs w:val="24"/>
        </w:rPr>
        <w:t xml:space="preserve"> (see Table </w:t>
      </w:r>
      <w:r w:rsidR="002A06A3" w:rsidRPr="0020001D">
        <w:rPr>
          <w:rFonts w:ascii="Arial" w:eastAsia="Arial" w:hAnsi="Arial" w:cs="Arial"/>
          <w:sz w:val="24"/>
          <w:szCs w:val="24"/>
        </w:rPr>
        <w:t>4</w:t>
      </w:r>
      <w:r w:rsidRPr="0020001D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F9DBA1C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2A06A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695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266"/>
        <w:gridCol w:w="991"/>
        <w:gridCol w:w="1275"/>
        <w:gridCol w:w="1275"/>
        <w:gridCol w:w="850"/>
        <w:gridCol w:w="995"/>
        <w:gridCol w:w="1348"/>
      </w:tblGrid>
      <w:tr w:rsidR="002A06A3" w:rsidRPr="002A06A3" w14:paraId="362DF076" w14:textId="77777777" w:rsidTr="002A06A3">
        <w:trPr>
          <w:trHeight w:val="43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D587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6387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A06A3" w:rsidRPr="002A06A3" w14:paraId="609D2241" w14:textId="77777777" w:rsidTr="002A06A3">
        <w:trPr>
          <w:trHeight w:val="20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4B7E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124B" w14:textId="183B15CC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81D8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F098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C8BD" w14:textId="42642684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EC7A" w14:textId="204E7C11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DADC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A06A3" w:rsidRPr="002A06A3" w14:paraId="22747BBD" w14:textId="77777777" w:rsidTr="002A06A3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7050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AFAA" w14:textId="2A142D02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D751" w14:textId="630F74ED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282,941.36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AE7A2" w14:textId="3DBC7161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1,160,000.00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52E4F" w14:textId="51386D9A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5B3A" w14:textId="73836B9C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155" w14:textId="13C43B62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1,442,941.36 </w:t>
            </w:r>
          </w:p>
        </w:tc>
      </w:tr>
      <w:tr w:rsidR="002A06A3" w:rsidRPr="002A06A3" w14:paraId="7AFD4166" w14:textId="77777777" w:rsidTr="002A06A3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BDAD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82A4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C3E3" w14:textId="6A26CDE1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282,941.36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FD465" w14:textId="691AEE5C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1,160,000.00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2D56" w14:textId="1B12E8A7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25D1" w14:textId="1D5A8846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9A24" w14:textId="352AB23B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1,442,941.36 </w:t>
            </w:r>
          </w:p>
        </w:tc>
      </w:tr>
      <w:tr w:rsidR="002A06A3" w:rsidRPr="002A06A3" w14:paraId="453ECC0C" w14:textId="77777777" w:rsidTr="002A06A3">
        <w:trPr>
          <w:trHeight w:val="20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DC97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747C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748A" w14:textId="4204623E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282,941.36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B484" w14:textId="340ABB55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1,160,000.00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F263" w14:textId="4B262B1C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8FE9" w14:textId="2E57A120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2D694" w14:textId="72CD1580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1,442,941.36 </w:t>
            </w:r>
          </w:p>
        </w:tc>
      </w:tr>
      <w:tr w:rsidR="002A06A3" w:rsidRPr="002A06A3" w14:paraId="0A7C417D" w14:textId="77777777" w:rsidTr="002A06A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6D1DD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B52C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2110" w14:textId="77777777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58FA" w14:textId="40BEB747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282,941.36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388" w14:textId="6F89E84C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1,160,000.00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B189" w14:textId="234A1284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B966" w14:textId="23044FE4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55CC" w14:textId="777994BF" w:rsidR="002A06A3" w:rsidRPr="002A06A3" w:rsidRDefault="002A06A3" w:rsidP="002A06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06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1,442,941.36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27AC9698" w14:textId="76D96B34" w:rsidR="00153E93" w:rsidRPr="003635D5" w:rsidRDefault="00153E93" w:rsidP="00153E9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5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X for any request of Technical Assistance and Resource Augmentation (TARA). 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C719616" w:rsidR="008B67DD" w:rsidRPr="008F6E9B" w:rsidRDefault="001056FC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6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4A78B66" w:rsidR="007F2E58" w:rsidRPr="00D23BDC" w:rsidRDefault="00153E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E93"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9F4C" w14:textId="77777777" w:rsidR="001F257F" w:rsidRDefault="001F257F" w:rsidP="00C12445">
      <w:pPr>
        <w:spacing w:after="0" w:line="240" w:lineRule="auto"/>
      </w:pPr>
      <w:r>
        <w:separator/>
      </w:r>
    </w:p>
  </w:endnote>
  <w:endnote w:type="continuationSeparator" w:id="0">
    <w:p w14:paraId="1E48F28D" w14:textId="77777777" w:rsidR="001F257F" w:rsidRDefault="001F257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61B6E74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>DSWD DROMIC</w:t>
            </w:r>
            <w:r w:rsidR="00153E93">
              <w:rPr>
                <w:sz w:val="16"/>
                <w:szCs w:val="20"/>
              </w:rPr>
              <w:t xml:space="preserve"> Terminal</w:t>
            </w:r>
            <w:r w:rsidRPr="001802E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Report on the Fire Incident in </w:t>
            </w:r>
            <w:proofErr w:type="spellStart"/>
            <w:r w:rsidR="00E40D60" w:rsidRPr="00E40D60">
              <w:rPr>
                <w:sz w:val="16"/>
                <w:szCs w:val="20"/>
              </w:rPr>
              <w:t>Tagoloan</w:t>
            </w:r>
            <w:proofErr w:type="spellEnd"/>
            <w:r w:rsidR="00E40D60" w:rsidRPr="00E40D60">
              <w:rPr>
                <w:sz w:val="16"/>
                <w:szCs w:val="20"/>
              </w:rPr>
              <w:t>, Misamis Oriental</w:t>
            </w:r>
            <w:r w:rsidR="00153E93">
              <w:rPr>
                <w:sz w:val="16"/>
                <w:szCs w:val="20"/>
              </w:rPr>
              <w:t xml:space="preserve">, 09 December </w:t>
            </w:r>
            <w:r w:rsidRPr="001802EA">
              <w:rPr>
                <w:sz w:val="16"/>
                <w:szCs w:val="20"/>
              </w:rPr>
              <w:t>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6F49" w14:textId="77777777" w:rsidR="001F257F" w:rsidRDefault="001F257F" w:rsidP="00C12445">
      <w:pPr>
        <w:spacing w:after="0" w:line="240" w:lineRule="auto"/>
      </w:pPr>
      <w:r>
        <w:separator/>
      </w:r>
    </w:p>
  </w:footnote>
  <w:footnote w:type="continuationSeparator" w:id="0">
    <w:p w14:paraId="32A7D231" w14:textId="77777777" w:rsidR="001F257F" w:rsidRDefault="001F257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43EB4"/>
    <w:rsid w:val="0014677F"/>
    <w:rsid w:val="001523E1"/>
    <w:rsid w:val="00153E93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257F"/>
    <w:rsid w:val="001F3B15"/>
    <w:rsid w:val="001F584C"/>
    <w:rsid w:val="001F7345"/>
    <w:rsid w:val="001F7B72"/>
    <w:rsid w:val="0020001D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BEF4-BD3A-442F-AC0F-BA83090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2021-12-09T00:54:00Z</dcterms:created>
  <dcterms:modified xsi:type="dcterms:W3CDTF">2021-12-09T00:54:00Z</dcterms:modified>
</cp:coreProperties>
</file>