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0CD3" w14:textId="77777777" w:rsidR="007965E7" w:rsidRPr="00E67F2F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67F2F">
        <w:rPr>
          <w:rFonts w:ascii="Arial" w:eastAsia="Arial" w:hAnsi="Arial" w:cs="Arial"/>
          <w:b/>
          <w:sz w:val="32"/>
          <w:szCs w:val="24"/>
        </w:rPr>
        <w:t>DSWD DROMIC Preparedness for Response Report #1</w:t>
      </w:r>
    </w:p>
    <w:p w14:paraId="4397CB0D" w14:textId="22A1FFBB" w:rsidR="007965E7" w:rsidRPr="00E67F2F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E67F2F">
        <w:rPr>
          <w:rFonts w:ascii="Arial" w:eastAsia="Arial" w:hAnsi="Arial" w:cs="Arial"/>
          <w:b/>
          <w:sz w:val="32"/>
          <w:szCs w:val="24"/>
        </w:rPr>
        <w:t xml:space="preserve">on </w:t>
      </w:r>
      <w:r>
        <w:rPr>
          <w:rFonts w:ascii="Arial" w:eastAsia="Arial" w:hAnsi="Arial" w:cs="Arial"/>
          <w:b/>
          <w:sz w:val="32"/>
          <w:szCs w:val="24"/>
        </w:rPr>
        <w:t xml:space="preserve">the Observance of </w:t>
      </w:r>
      <w:r w:rsidR="001F0FAC">
        <w:rPr>
          <w:rFonts w:ascii="Arial" w:eastAsia="Arial" w:hAnsi="Arial" w:cs="Arial"/>
          <w:b/>
          <w:sz w:val="32"/>
          <w:szCs w:val="24"/>
        </w:rPr>
        <w:t>“UNDAS”</w:t>
      </w:r>
      <w:r>
        <w:rPr>
          <w:rFonts w:ascii="Arial" w:eastAsia="Arial" w:hAnsi="Arial" w:cs="Arial"/>
          <w:b/>
          <w:sz w:val="32"/>
          <w:szCs w:val="24"/>
        </w:rPr>
        <w:t xml:space="preserve"> 2021</w:t>
      </w:r>
    </w:p>
    <w:p w14:paraId="315587BE" w14:textId="7E0905B0" w:rsidR="007965E7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E7C6C">
        <w:rPr>
          <w:rFonts w:ascii="Arial" w:eastAsia="Arial" w:hAnsi="Arial" w:cs="Arial"/>
          <w:sz w:val="24"/>
          <w:szCs w:val="24"/>
        </w:rPr>
        <w:t xml:space="preserve">as of </w:t>
      </w:r>
      <w:r>
        <w:rPr>
          <w:rFonts w:ascii="Arial" w:eastAsia="Arial" w:hAnsi="Arial" w:cs="Arial"/>
          <w:sz w:val="24"/>
          <w:szCs w:val="24"/>
        </w:rPr>
        <w:t>31 October 2021</w:t>
      </w:r>
      <w:r w:rsidRPr="00CE7C6C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</w:p>
    <w:p w14:paraId="3B2C3975" w14:textId="3B19CD27" w:rsidR="007965E7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7E0260F" w14:textId="12E6B1A6" w:rsidR="007965E7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1DBDAB7" w14:textId="77777777" w:rsidR="005A5962" w:rsidRPr="001E5CF7" w:rsidRDefault="005A5962" w:rsidP="007809A8">
      <w:pPr>
        <w:pStyle w:val="NoSpacing"/>
        <w:numPr>
          <w:ilvl w:val="0"/>
          <w:numId w:val="28"/>
        </w:numPr>
        <w:ind w:left="426" w:hanging="426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284B12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8A8A9AD" w14:textId="12CBB78C" w:rsidR="00402318" w:rsidRDefault="001F0FAC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>
        <w:rPr>
          <w:rFonts w:ascii="Arial" w:eastAsia="Calibri" w:hAnsi="Arial" w:cs="Arial"/>
          <w:bCs/>
          <w:sz w:val="24"/>
          <w:szCs w:val="24"/>
          <w:lang w:val="en-PH"/>
        </w:rPr>
        <w:t>“UNDAS”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(also known as </w:t>
      </w:r>
      <w:proofErr w:type="spellStart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>Todos</w:t>
      </w:r>
      <w:proofErr w:type="spellEnd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proofErr w:type="spellStart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>los</w:t>
      </w:r>
      <w:proofErr w:type="spellEnd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Santos, </w:t>
      </w:r>
      <w:proofErr w:type="spellStart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>Araw</w:t>
      </w:r>
      <w:proofErr w:type="spellEnd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ng </w:t>
      </w:r>
      <w:proofErr w:type="spellStart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>mga</w:t>
      </w:r>
      <w:proofErr w:type="spellEnd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proofErr w:type="spellStart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>Patay</w:t>
      </w:r>
      <w:proofErr w:type="spellEnd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>, or All Saints' Day)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 is a holiday honoring the dead and is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widely celebrated in the Philippines. Filipino families traditionally visit cemeteries on November 1 or 2, to hold gatherings around the graves of their departed loved ones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to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lay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out flowers, 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>candles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and offer prayers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.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The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occasion is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often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treated as a reunion or banquet, with families bringing food and drink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>s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and camping out all day or even overnight. It is an official, state-recognized holiday, so people get leave from school or work on these days.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 This occasion usually</w:t>
      </w:r>
      <w:r w:rsidR="0051543D" w:rsidRP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 leads to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the </w:t>
      </w:r>
      <w:r w:rsidR="0051543D" w:rsidRPr="0051543D">
        <w:rPr>
          <w:rFonts w:ascii="Arial" w:eastAsia="Calibri" w:hAnsi="Arial" w:cs="Arial"/>
          <w:bCs/>
          <w:sz w:val="24"/>
          <w:szCs w:val="24"/>
          <w:lang w:val="en-PH"/>
        </w:rPr>
        <w:t>increased volume of people on the roads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, cemeteries, </w:t>
      </w:r>
      <w:r w:rsidR="0051543D" w:rsidRPr="0051543D">
        <w:rPr>
          <w:rFonts w:ascii="Arial" w:eastAsia="Calibri" w:hAnsi="Arial" w:cs="Arial"/>
          <w:bCs/>
          <w:sz w:val="24"/>
          <w:szCs w:val="24"/>
          <w:lang w:val="en-PH"/>
        </w:rPr>
        <w:t>sacred grounds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, and other related areas around the country.</w:t>
      </w:r>
    </w:p>
    <w:p w14:paraId="766F2696" w14:textId="0005CDA1" w:rsidR="00EE2D3D" w:rsidRDefault="00EE2D3D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</w:p>
    <w:p w14:paraId="79AE46F7" w14:textId="2A371763" w:rsidR="00EE2D3D" w:rsidRDefault="001F0FAC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>
        <w:rPr>
          <w:rFonts w:ascii="Arial" w:eastAsia="Calibri" w:hAnsi="Arial" w:cs="Arial"/>
          <w:bCs/>
          <w:sz w:val="24"/>
          <w:szCs w:val="24"/>
          <w:lang w:val="en-PH"/>
        </w:rPr>
        <w:t>“UNDAS”</w:t>
      </w:r>
      <w:r w:rsidR="00EE2D3D">
        <w:rPr>
          <w:rFonts w:ascii="Arial" w:eastAsia="Calibri" w:hAnsi="Arial" w:cs="Arial"/>
          <w:bCs/>
          <w:sz w:val="24"/>
          <w:szCs w:val="24"/>
          <w:lang w:val="en-PH"/>
        </w:rPr>
        <w:t xml:space="preserve"> is traditionally celebrated on the first and second day of November. This year, November 1 (All Saint’s Day) and November 2 (All Souls’ Day) will fall on Monday and Tuesday respectively.</w:t>
      </w:r>
    </w:p>
    <w:p w14:paraId="32D4CBBE" w14:textId="25D03FDF" w:rsidR="0051543D" w:rsidRDefault="0051543D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</w:p>
    <w:p w14:paraId="66849B9A" w14:textId="7EE2D011" w:rsidR="00CD2600" w:rsidRDefault="00EE2D3D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>
        <w:rPr>
          <w:rFonts w:ascii="Arial" w:eastAsia="Calibri" w:hAnsi="Arial" w:cs="Arial"/>
          <w:bCs/>
          <w:sz w:val="24"/>
          <w:szCs w:val="24"/>
          <w:lang w:val="en-PH"/>
        </w:rPr>
        <w:t>The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usual observance of </w:t>
      </w:r>
      <w:r w:rsidR="001F0FAC">
        <w:rPr>
          <w:rFonts w:ascii="Arial" w:eastAsia="Calibri" w:hAnsi="Arial" w:cs="Arial"/>
          <w:bCs/>
          <w:sz w:val="24"/>
          <w:szCs w:val="24"/>
          <w:lang w:val="en-PH"/>
        </w:rPr>
        <w:t>“UNDAS”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 has changed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during the </w:t>
      </w:r>
      <w:r w:rsidR="004E06B3">
        <w:rPr>
          <w:rFonts w:ascii="Arial" w:eastAsia="Calibri" w:hAnsi="Arial" w:cs="Arial"/>
          <w:bCs/>
          <w:sz w:val="24"/>
          <w:szCs w:val="24"/>
          <w:lang w:val="en-PH"/>
        </w:rPr>
        <w:t xml:space="preserve">COVID-19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pandemic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in accordance to the public protocols and guidelines provided in the</w:t>
      </w:r>
      <w:r w:rsidR="00CD2600" w:rsidRP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Omnibus Guidelines on the Implementation of Community Quarantine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. This was reiterated by Presidential </w:t>
      </w:r>
      <w:proofErr w:type="spellStart"/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Spokersperson</w:t>
      </w:r>
      <w:proofErr w:type="spellEnd"/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Harry Roque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 during a press briefing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on 25 October 2021 reminding the public that the</w:t>
      </w:r>
      <w:r w:rsidR="00CD2600" w:rsidRP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protocols and guidelines which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 were</w:t>
      </w:r>
      <w:r w:rsidR="00CD2600" w:rsidRP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adopted last year will still be followed for </w:t>
      </w:r>
      <w:r w:rsidR="001F0FAC">
        <w:rPr>
          <w:rFonts w:ascii="Arial" w:eastAsia="Calibri" w:hAnsi="Arial" w:cs="Arial"/>
          <w:bCs/>
          <w:sz w:val="24"/>
          <w:szCs w:val="24"/>
          <w:lang w:val="en-PH"/>
        </w:rPr>
        <w:t>“UNDAS”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2021.</w:t>
      </w:r>
    </w:p>
    <w:p w14:paraId="75050F4F" w14:textId="77777777" w:rsidR="007809A8" w:rsidRDefault="007809A8" w:rsidP="007965E7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1E44DD34" w14:textId="40F7EF38" w:rsidR="003B27F0" w:rsidRPr="003B27F0" w:rsidRDefault="003C1142" w:rsidP="003B27F0">
      <w:pPr>
        <w:pStyle w:val="NoSpacing1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809A8" w:rsidRPr="007809A8">
        <w:rPr>
          <w:rFonts w:ascii="Arial" w:hAnsi="Arial" w:cs="Arial"/>
          <w:bCs/>
          <w:i/>
          <w:color w:val="0070C0"/>
          <w:sz w:val="16"/>
          <w:szCs w:val="24"/>
        </w:rPr>
        <w:t>Wikipilipinas.org</w:t>
      </w:r>
      <w:r w:rsidR="007809A8" w:rsidRPr="007809A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 xml:space="preserve"> </w:t>
      </w:r>
      <w:r w:rsidR="00CD2600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 xml:space="preserve">and </w:t>
      </w:r>
      <w:r w:rsidR="003B27F0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PCOO</w:t>
      </w:r>
    </w:p>
    <w:p w14:paraId="1083C3F7" w14:textId="10430341" w:rsidR="00D17629" w:rsidRDefault="00D17629" w:rsidP="00C122A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p w14:paraId="20103881" w14:textId="0EDE4D9A" w:rsidR="007809A8" w:rsidRDefault="007809A8" w:rsidP="00C122A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p w14:paraId="3E27DBDE" w14:textId="427D157A" w:rsidR="007809A8" w:rsidRDefault="007809A8" w:rsidP="007809A8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7809A8"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53ADC9FA" w14:textId="77777777" w:rsidR="007809A8" w:rsidRDefault="007809A8" w:rsidP="007809A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6D53168" w14:textId="74FA5AFA" w:rsidR="007809A8" w:rsidRPr="008F25FF" w:rsidRDefault="007809A8" w:rsidP="007809A8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8F25FF">
        <w:rPr>
          <w:rFonts w:ascii="Arial" w:eastAsia="Arial" w:hAnsi="Arial" w:cs="Arial"/>
          <w:sz w:val="24"/>
          <w:szCs w:val="24"/>
        </w:rPr>
        <w:t xml:space="preserve">The DSWD Central Office (CO), FOs, and National Resource Operations Center (NROC) have stockpiles and standby funds amounting to 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5062E" w:rsidRPr="0055062E">
        <w:rPr>
          <w:rFonts w:ascii="Arial" w:eastAsia="Arial" w:hAnsi="Arial" w:cs="Arial"/>
          <w:b/>
          <w:color w:val="0070C0"/>
          <w:sz w:val="24"/>
          <w:szCs w:val="24"/>
        </w:rPr>
        <w:t>1,823,805,521.00</w:t>
      </w:r>
      <w:r w:rsidRPr="008F25F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25FF">
        <w:rPr>
          <w:rFonts w:ascii="Arial" w:eastAsia="Arial" w:hAnsi="Arial" w:cs="Arial"/>
          <w:sz w:val="24"/>
          <w:szCs w:val="24"/>
        </w:rPr>
        <w:t>with breakdown as follows (see Table 2):</w:t>
      </w:r>
    </w:p>
    <w:p w14:paraId="7BD54981" w14:textId="77777777" w:rsidR="007809A8" w:rsidRPr="008F25FF" w:rsidRDefault="007809A8" w:rsidP="007809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71DB31" w14:textId="77777777" w:rsidR="007809A8" w:rsidRPr="008F25FF" w:rsidRDefault="007809A8" w:rsidP="007809A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8F25FF">
        <w:rPr>
          <w:rFonts w:ascii="Arial" w:eastAsia="Arial" w:hAnsi="Arial" w:cs="Arial"/>
          <w:b/>
          <w:sz w:val="24"/>
          <w:szCs w:val="24"/>
        </w:rPr>
        <w:t>Standby Funds</w:t>
      </w:r>
    </w:p>
    <w:p w14:paraId="6AF2AE0E" w14:textId="77777777" w:rsidR="007809A8" w:rsidRPr="008F25FF" w:rsidRDefault="007809A8" w:rsidP="007809A8">
      <w:pPr>
        <w:spacing w:after="0" w:line="240" w:lineRule="auto"/>
        <w:ind w:left="709"/>
        <w:jc w:val="both"/>
        <w:rPr>
          <w:rFonts w:ascii="Arial" w:eastAsia="Arial" w:hAnsi="Arial" w:cs="Arial"/>
          <w:sz w:val="28"/>
          <w:szCs w:val="28"/>
        </w:rPr>
      </w:pPr>
      <w:r w:rsidRPr="008F25FF">
        <w:rPr>
          <w:rFonts w:ascii="Arial" w:eastAsia="Arial" w:hAnsi="Arial" w:cs="Arial"/>
          <w:sz w:val="24"/>
          <w:szCs w:val="24"/>
        </w:rPr>
        <w:t xml:space="preserve">A total of 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₱951,726,299.44 standby funds</w:t>
      </w:r>
      <w:r w:rsidRPr="008F25FF">
        <w:rPr>
          <w:rFonts w:ascii="Arial" w:eastAsia="Arial" w:hAnsi="Arial" w:cs="Arial"/>
          <w:sz w:val="24"/>
          <w:szCs w:val="24"/>
        </w:rPr>
        <w:t xml:space="preserve"> in the CO and FOs. Of the said amount, 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₱895,185,870.95</w:t>
      </w:r>
      <w:r w:rsidRPr="008F25F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25FF">
        <w:rPr>
          <w:rFonts w:ascii="Arial" w:eastAsia="Arial" w:hAnsi="Arial" w:cs="Arial"/>
          <w:sz w:val="24"/>
          <w:szCs w:val="24"/>
        </w:rPr>
        <w:t xml:space="preserve">is the available 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Quick Response Fund (QRF)</w:t>
      </w:r>
      <w:r w:rsidRPr="008F25FF">
        <w:rPr>
          <w:rFonts w:ascii="Arial" w:eastAsia="Arial" w:hAnsi="Arial" w:cs="Arial"/>
          <w:sz w:val="24"/>
          <w:szCs w:val="24"/>
        </w:rPr>
        <w:t xml:space="preserve"> in the CO.</w:t>
      </w:r>
      <w:r w:rsidRPr="008F25FF">
        <w:rPr>
          <w:rFonts w:ascii="Arial" w:eastAsia="Arial" w:hAnsi="Arial" w:cs="Arial"/>
          <w:sz w:val="28"/>
          <w:szCs w:val="28"/>
        </w:rPr>
        <w:tab/>
      </w:r>
    </w:p>
    <w:p w14:paraId="7B0C4552" w14:textId="77777777" w:rsidR="007809A8" w:rsidRPr="008F25FF" w:rsidRDefault="007809A8" w:rsidP="007809A8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0CC4CE8" w14:textId="77777777" w:rsidR="007809A8" w:rsidRPr="008F25FF" w:rsidRDefault="007809A8" w:rsidP="007809A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142"/>
        <w:jc w:val="both"/>
        <w:rPr>
          <w:rFonts w:ascii="Arial" w:eastAsia="Arial" w:hAnsi="Arial" w:cs="Arial"/>
          <w:b/>
          <w:sz w:val="24"/>
          <w:szCs w:val="24"/>
        </w:rPr>
      </w:pPr>
      <w:r w:rsidRPr="008F25FF">
        <w:rPr>
          <w:rFonts w:ascii="Arial" w:eastAsia="Arial" w:hAnsi="Arial" w:cs="Arial"/>
          <w:b/>
          <w:sz w:val="24"/>
          <w:szCs w:val="24"/>
        </w:rPr>
        <w:t>Stockpiles</w:t>
      </w:r>
    </w:p>
    <w:p w14:paraId="0BE208CB" w14:textId="4C1EFF04" w:rsidR="007809A8" w:rsidRDefault="007809A8" w:rsidP="007809A8">
      <w:pPr>
        <w:spacing w:after="0" w:line="240" w:lineRule="auto"/>
        <w:ind w:left="284" w:firstLine="283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8F25FF">
        <w:rPr>
          <w:rFonts w:ascii="Arial" w:eastAsia="Arial" w:hAnsi="Arial" w:cs="Arial"/>
          <w:sz w:val="24"/>
          <w:szCs w:val="24"/>
        </w:rPr>
        <w:t xml:space="preserve">A total of </w:t>
      </w:r>
      <w:r w:rsidR="0055062E" w:rsidRPr="0055062E">
        <w:rPr>
          <w:rFonts w:ascii="Arial" w:eastAsia="Arial" w:hAnsi="Arial" w:cs="Arial"/>
          <w:b/>
          <w:color w:val="0070C0"/>
          <w:sz w:val="24"/>
          <w:szCs w:val="24"/>
        </w:rPr>
        <w:t>363,209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 xml:space="preserve"> family food packs (FFPs</w:t>
      </w:r>
      <w:r w:rsidRPr="008F25FF">
        <w:rPr>
          <w:rFonts w:ascii="Arial" w:eastAsia="Arial" w:hAnsi="Arial" w:cs="Arial"/>
          <w:b/>
          <w:sz w:val="24"/>
          <w:szCs w:val="24"/>
        </w:rPr>
        <w:t>)</w:t>
      </w:r>
      <w:r w:rsidRPr="008F25FF">
        <w:rPr>
          <w:rFonts w:ascii="Arial" w:eastAsia="Arial" w:hAnsi="Arial" w:cs="Arial"/>
          <w:sz w:val="24"/>
          <w:szCs w:val="24"/>
        </w:rPr>
        <w:t xml:space="preserve"> amounting to 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5062E" w:rsidRPr="0055062E">
        <w:rPr>
          <w:rFonts w:ascii="Arial" w:eastAsia="Arial" w:hAnsi="Arial" w:cs="Arial"/>
          <w:b/>
          <w:color w:val="0070C0"/>
          <w:sz w:val="24"/>
          <w:szCs w:val="24"/>
        </w:rPr>
        <w:t>207,480,250.88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Pr="00B568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other</w:t>
      </w:r>
    </w:p>
    <w:p w14:paraId="64FF2E3C" w14:textId="5057A068" w:rsidR="007809A8" w:rsidRDefault="007809A8" w:rsidP="007809A8">
      <w:pPr>
        <w:spacing w:after="0" w:line="240" w:lineRule="auto"/>
        <w:ind w:left="284" w:firstLine="283"/>
        <w:jc w:val="both"/>
        <w:rPr>
          <w:rFonts w:ascii="Arial" w:eastAsia="Arial" w:hAnsi="Arial" w:cs="Arial"/>
          <w:sz w:val="24"/>
          <w:szCs w:val="24"/>
        </w:rPr>
      </w:pP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food items</w:t>
      </w:r>
      <w:r w:rsidRPr="008F25FF">
        <w:rPr>
          <w:rFonts w:ascii="Arial" w:eastAsia="Arial" w:hAnsi="Arial" w:cs="Arial"/>
          <w:sz w:val="24"/>
          <w:szCs w:val="24"/>
        </w:rPr>
        <w:t xml:space="preserve"> amounting to 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5062E" w:rsidRPr="0055062E">
        <w:rPr>
          <w:rFonts w:ascii="Arial" w:eastAsia="Arial" w:hAnsi="Arial" w:cs="Arial"/>
          <w:b/>
          <w:color w:val="0070C0"/>
          <w:sz w:val="24"/>
          <w:szCs w:val="24"/>
        </w:rPr>
        <w:t>222,217,235.23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8F25FF">
        <w:rPr>
          <w:rFonts w:ascii="Arial" w:eastAsia="Arial" w:hAnsi="Arial" w:cs="Arial"/>
          <w:sz w:val="24"/>
          <w:szCs w:val="24"/>
        </w:rPr>
        <w:t xml:space="preserve">and 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non-food items (FNIs)</w:t>
      </w:r>
      <w:r w:rsidRPr="008F25F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25FF">
        <w:rPr>
          <w:rFonts w:ascii="Arial" w:eastAsia="Arial" w:hAnsi="Arial" w:cs="Arial"/>
          <w:sz w:val="24"/>
          <w:szCs w:val="24"/>
        </w:rPr>
        <w:t xml:space="preserve">amounting to </w:t>
      </w:r>
    </w:p>
    <w:p w14:paraId="58AF2C55" w14:textId="0C7DEBA1" w:rsidR="007809A8" w:rsidRPr="007809A8" w:rsidRDefault="007809A8" w:rsidP="007809A8">
      <w:pPr>
        <w:spacing w:after="0" w:line="240" w:lineRule="auto"/>
        <w:ind w:left="284" w:firstLine="283"/>
        <w:jc w:val="both"/>
        <w:rPr>
          <w:rFonts w:ascii="Arial" w:eastAsia="Arial" w:hAnsi="Arial" w:cs="Arial"/>
          <w:sz w:val="24"/>
          <w:szCs w:val="24"/>
        </w:rPr>
      </w:pP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5062E" w:rsidRPr="0055062E">
        <w:rPr>
          <w:rFonts w:ascii="Arial" w:eastAsia="Arial" w:hAnsi="Arial" w:cs="Arial"/>
          <w:b/>
          <w:color w:val="0070C0"/>
          <w:sz w:val="24"/>
          <w:szCs w:val="24"/>
        </w:rPr>
        <w:t>442,381,735.45</w:t>
      </w:r>
      <w:bookmarkStart w:id="0" w:name="_GoBack"/>
      <w:bookmarkEnd w:id="0"/>
      <w:r w:rsidRPr="008F25F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25FF">
        <w:rPr>
          <w:rFonts w:ascii="Arial" w:eastAsia="Arial" w:hAnsi="Arial" w:cs="Arial"/>
          <w:sz w:val="24"/>
          <w:szCs w:val="24"/>
        </w:rPr>
        <w:t>are available.</w:t>
      </w:r>
    </w:p>
    <w:p w14:paraId="5344A0BB" w14:textId="77777777" w:rsidR="007809A8" w:rsidRDefault="007809A8" w:rsidP="007809A8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AD6F656" w14:textId="77777777" w:rsidR="007809A8" w:rsidRDefault="007809A8" w:rsidP="007809A8">
      <w:pPr>
        <w:spacing w:after="0" w:line="240" w:lineRule="auto"/>
        <w:ind w:left="426" w:right="57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 Table 2. Available Stockpiles and Standby Funds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1398"/>
        <w:gridCol w:w="1301"/>
        <w:gridCol w:w="1141"/>
        <w:gridCol w:w="1301"/>
        <w:gridCol w:w="1303"/>
        <w:gridCol w:w="1306"/>
        <w:gridCol w:w="1424"/>
      </w:tblGrid>
      <w:tr w:rsidR="007809A8" w:rsidRPr="00CD062B" w14:paraId="35FDB7CD" w14:textId="77777777" w:rsidTr="0055062E">
        <w:trPr>
          <w:trHeight w:val="20"/>
          <w:tblHeader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3B4F0E5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REGIONAL / FIELD OFFICE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F8A6F1C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STANDBY FUNDS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CD570FE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FAMILY FOOD PACKS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235CA8CD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34C482EF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1DFE915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7809A8" w:rsidRPr="00CD062B" w14:paraId="689AC31A" w14:textId="77777777" w:rsidTr="0055062E">
        <w:trPr>
          <w:trHeight w:val="20"/>
          <w:tblHeader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FFF9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DEC1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CB67025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DF93A11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5D359D7A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6CE74289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6D37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55062E" w:rsidRPr="00CD062B" w14:paraId="2721DC17" w14:textId="77777777" w:rsidTr="0055062E">
        <w:trPr>
          <w:trHeight w:val="2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143B9A7C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4DA238F3" w14:textId="590A169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951,726,299.44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636F9B11" w14:textId="575606A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363,209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4B9CBE61" w14:textId="65772B8D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207,480,250.88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57407BF5" w14:textId="40C7722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222,217,235.23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5FE05559" w14:textId="3E725CA4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442,381,735.45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3C370E06" w14:textId="4458D4B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1,823,805,521.00</w:t>
            </w:r>
          </w:p>
        </w:tc>
      </w:tr>
      <w:tr w:rsidR="0055062E" w:rsidRPr="00CD062B" w14:paraId="4F084B31" w14:textId="77777777" w:rsidTr="0055062E">
        <w:trPr>
          <w:trHeight w:val="20"/>
        </w:trPr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2503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sz w:val="18"/>
                <w:szCs w:val="18"/>
              </w:rPr>
              <w:t>Central Office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C8F2" w14:textId="19641BD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895,185,870.95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B21F" w14:textId="308D1997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30AC" w14:textId="301B93D1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EF0F" w14:textId="557D899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CB3F" w14:textId="4C15553A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FD97" w14:textId="0F5B14A7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895,185,870.95</w:t>
            </w:r>
          </w:p>
        </w:tc>
      </w:tr>
      <w:tr w:rsidR="0055062E" w:rsidRPr="00CD062B" w14:paraId="4EA81F7B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7FA1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8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NRLMB - NROC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FB63" w14:textId="6A2718DB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CBC6" w14:textId="06CBAE0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17,249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375C" w14:textId="7E2EFEA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9,334,656.00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8264" w14:textId="006B439F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36,406,467.52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F220" w14:textId="035970D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64,207,616.42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6727" w14:textId="4356E30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109,948,739.94 </w:t>
            </w:r>
          </w:p>
        </w:tc>
      </w:tr>
      <w:tr w:rsidR="0055062E" w:rsidRPr="00CD062B" w14:paraId="35EA5216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8322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9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NRLMB - VDRC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73D7" w14:textId="40CD4524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B355" w14:textId="77ACD1A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3,002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8E82" w14:textId="2609DF7D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1,611,160.00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E7C5" w14:textId="50FD8C97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33,645,815.53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4289" w14:textId="6088D09B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2,842,510.00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7709" w14:textId="7521D0A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38,099,485.53 </w:t>
            </w:r>
          </w:p>
        </w:tc>
      </w:tr>
      <w:tr w:rsidR="0055062E" w:rsidRPr="00CD062B" w14:paraId="7FCC2E8C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EA35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0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F9C0" w14:textId="1EDFA94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123,035.20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1663" w14:textId="67E353A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6,178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B36D" w14:textId="55235F7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3,674,872.80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1FD0" w14:textId="1B1283F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15,282,170.00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1F6B" w14:textId="0D2BE63C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12,838,159.52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0FD6" w14:textId="3D21CED7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31,918,237.52 </w:t>
            </w:r>
          </w:p>
        </w:tc>
      </w:tr>
      <w:tr w:rsidR="0055062E" w:rsidRPr="00CD062B" w14:paraId="24A653E1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BEB3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1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II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AD05" w14:textId="311C541C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4,959,298.68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C8A69" w14:textId="442D4DE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21,589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9FB6" w14:textId="3FDA291B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13,872,720.40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BA1F" w14:textId="21EA753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3,831,966.40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0928" w14:textId="3E386C9F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10,770,307.69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31D3" w14:textId="43B87E1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33,434,293.17 </w:t>
            </w:r>
          </w:p>
        </w:tc>
      </w:tr>
      <w:tr w:rsidR="0055062E" w:rsidRPr="00CD062B" w14:paraId="75BC01B8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AB9E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2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III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8DCF" w14:textId="07C96C21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2DFF" w14:textId="72F2991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19,911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436A" w14:textId="5A4BC53B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13,006,875.53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00B0" w14:textId="768D6AC1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1,807,190.55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4F35" w14:textId="2B3C696F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16,192,101.77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740D" w14:textId="01C0817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34,006,167.85 </w:t>
            </w:r>
          </w:p>
        </w:tc>
      </w:tr>
      <w:tr w:rsidR="0055062E" w:rsidRPr="00CD062B" w14:paraId="7502DDC8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D85E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3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CALABARZON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76F8" w14:textId="4EEAB78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0CB7" w14:textId="3751884D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14,277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B5CE" w14:textId="3DC6435C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9,855,335.30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53E9" w14:textId="13CAC55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3,472,886.00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F4B4" w14:textId="52D9FEF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103,311,874.34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55D0" w14:textId="2F6A9294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121,640,095.64 </w:t>
            </w:r>
          </w:p>
        </w:tc>
      </w:tr>
      <w:tr w:rsidR="0055062E" w:rsidRPr="00CD062B" w14:paraId="136D18C2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3DF7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4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MIMAROPA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CED65" w14:textId="43990BD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0C2B" w14:textId="560530D4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22,787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843E" w14:textId="6B749F77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16,054,050.44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2853" w14:textId="59B3EB11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9,984,849.00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BDE8" w14:textId="2E5B435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16,853,391.10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719B" w14:textId="4A16F2FA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47,892,290.54 </w:t>
            </w:r>
          </w:p>
        </w:tc>
      </w:tr>
      <w:tr w:rsidR="0055062E" w:rsidRPr="00CD062B" w14:paraId="313903D6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8EF6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5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V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4DF4" w14:textId="114631EF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7AA2" w14:textId="1375CF2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21,356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6F65" w14:textId="13B1D62F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10,645,417.24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47A9" w14:textId="65EA1BC0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7,581,240.20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13A8" w14:textId="0257A4C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22,383,343.90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F835" w14:textId="65EFD1A8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45,610,001.34 </w:t>
            </w:r>
          </w:p>
        </w:tc>
      </w:tr>
      <w:tr w:rsidR="0055062E" w:rsidRPr="00CD062B" w14:paraId="6526A20E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08DF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6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VI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54F1" w14:textId="371620C0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5,000,646.42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53D4" w14:textId="475D2043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45,748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C149" w14:textId="78CEA7DF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23,188,272.09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DC1F" w14:textId="1C21F11A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11,917,271.42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597D" w14:textId="67FD3E17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14,835,173.29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1483" w14:textId="13238A88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54,941,363.22 </w:t>
            </w:r>
          </w:p>
        </w:tc>
      </w:tr>
      <w:tr w:rsidR="0055062E" w:rsidRPr="00CD062B" w14:paraId="5138680F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E355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7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VII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EB19" w14:textId="09B4AAA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1943" w14:textId="1A4EFA5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46,637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10DC" w14:textId="29245D8C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21,604,650.55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8298" w14:textId="18F4914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17,204,271.48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BD50" w14:textId="25854D9D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15,304,807.82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7376" w14:textId="364AB60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59,113,729.85 </w:t>
            </w:r>
          </w:p>
        </w:tc>
      </w:tr>
      <w:tr w:rsidR="0055062E" w:rsidRPr="00CD062B" w14:paraId="255EDF5E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DA64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8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VIII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3174" w14:textId="62EE5303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4,215,000.00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042F" w14:textId="5910AE91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15,296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5F22" w14:textId="7287F85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7,699,583.28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6FF2" w14:textId="6BB8556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1,372,903.06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7386" w14:textId="6E5535C7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20,530,262.37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C901" w14:textId="22F0D32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33,817,748.71 </w:t>
            </w:r>
          </w:p>
        </w:tc>
      </w:tr>
      <w:tr w:rsidR="0055062E" w:rsidRPr="00CD062B" w14:paraId="154A041E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CEDF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9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IX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23EB" w14:textId="48AAE801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BF39" w14:textId="4AD9AF6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21,443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6A0CE" w14:textId="05602C6A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11,718,385.07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FA65" w14:textId="4C94180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1,083,599.04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BC65" w14:textId="1B5CA02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17,134,532.25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6861" w14:textId="2F37A1D8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32,936,516.36 </w:t>
            </w:r>
          </w:p>
        </w:tc>
      </w:tr>
      <w:tr w:rsidR="0055062E" w:rsidRPr="00CD062B" w14:paraId="52964555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B330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0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X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0C6E" w14:textId="6FAE54BF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5,238,559.92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C98D" w14:textId="35217098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44,025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0E26" w14:textId="5A6D898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29,691,899.76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9F3F" w14:textId="2E985DE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56,710,320.60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0CC0" w14:textId="30EAFD5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46,137,432.07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0BED" w14:textId="304C921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137,778,212.35 </w:t>
            </w:r>
          </w:p>
        </w:tc>
      </w:tr>
      <w:tr w:rsidR="0055062E" w:rsidRPr="00CD062B" w14:paraId="106D5F17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BD98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1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XI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69C2" w14:textId="7F97E8AF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DC6B" w14:textId="4B199281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12,311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BD66" w14:textId="35BBEC0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5,945,081.55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EBAA" w14:textId="2481A3CF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2,175,143.00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AB1A" w14:textId="3ECA6FDA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20,298,871.30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F631" w14:textId="6CC15FA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28,419,095.85 </w:t>
            </w:r>
          </w:p>
        </w:tc>
      </w:tr>
      <w:tr w:rsidR="0055062E" w:rsidRPr="00CD062B" w14:paraId="469587AA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AC0D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2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XII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5F7D" w14:textId="5502784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3,000,969.85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2668" w14:textId="6A3B406A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12,153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687A" w14:textId="3CE6E1E0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7,843,533.75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048A" w14:textId="3974974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9,097,531.30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CB1F" w14:textId="2A80F470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27,570,568.50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2574" w14:textId="345760B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47,512,603.40 </w:t>
            </w:r>
          </w:p>
        </w:tc>
      </w:tr>
      <w:tr w:rsidR="0055062E" w:rsidRPr="00CD062B" w14:paraId="081291DF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6B42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3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CARAGA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AF66" w14:textId="174BD8DC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AF9A" w14:textId="5251861E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9,994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6EBA" w14:textId="6FCB50ED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4,537,325.00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AFDD" w14:textId="0E7EC35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24,825.88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600B" w14:textId="07A8AC8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9,548,823.40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46AA" w14:textId="19971408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19,110,974.28 </w:t>
            </w:r>
          </w:p>
        </w:tc>
      </w:tr>
      <w:tr w:rsidR="0055062E" w:rsidRPr="00CD062B" w14:paraId="0B38D082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CEA2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4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NCR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06A7" w14:textId="46E7463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3,002,563.30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FA6D" w14:textId="66F13FE2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3,234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058F" w14:textId="4BBCA87C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1,982,652.12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103F" w14:textId="569605CA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5,580,728.91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1DCC" w14:textId="6D28D465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1,727,247.46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FDF0" w14:textId="58FBF8B9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12,293,191.79 </w:t>
            </w:r>
          </w:p>
        </w:tc>
      </w:tr>
      <w:tr w:rsidR="0055062E" w:rsidRPr="00CD062B" w14:paraId="6BFCD60B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C96B" w14:textId="77777777" w:rsidR="0055062E" w:rsidRPr="00CD062B" w:rsidRDefault="0055062E" w:rsidP="0055062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5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CAR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DE92" w14:textId="6A469FB8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355.12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5291" w14:textId="4F8F1B91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>26,019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621C" w14:textId="5A2F31A3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15,213,780.00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B96A" w14:textId="02AA5EB0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5,038,055.34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1144" w14:textId="09FA3066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19,894,712.25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3DFC" w14:textId="74A3B353" w:rsidR="0055062E" w:rsidRPr="0055062E" w:rsidRDefault="0055062E" w:rsidP="0055062E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06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40,146,902.71 </w:t>
            </w:r>
          </w:p>
        </w:tc>
      </w:tr>
    </w:tbl>
    <w:p w14:paraId="5DAC5A9B" w14:textId="4CD4E818" w:rsidR="007809A8" w:rsidRDefault="007809A8" w:rsidP="007809A8">
      <w:pPr>
        <w:spacing w:after="0" w:line="240" w:lineRule="auto"/>
        <w:ind w:left="567" w:right="57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 T</w:t>
      </w:r>
      <w:r w:rsidR="0055062E">
        <w:rPr>
          <w:rFonts w:ascii="Arial" w:eastAsia="Arial" w:hAnsi="Arial" w:cs="Arial"/>
          <w:i/>
          <w:sz w:val="16"/>
          <w:szCs w:val="16"/>
        </w:rPr>
        <w:t>he Inventory Summary is as of 29</w:t>
      </w:r>
      <w:r>
        <w:rPr>
          <w:rFonts w:ascii="Arial" w:eastAsia="Arial" w:hAnsi="Arial" w:cs="Arial"/>
          <w:i/>
          <w:sz w:val="16"/>
          <w:szCs w:val="16"/>
        </w:rPr>
        <w:t xml:space="preserve"> October 2021, 4PM.</w:t>
      </w:r>
    </w:p>
    <w:p w14:paraId="381CDAD4" w14:textId="3824ECA6" w:rsidR="007809A8" w:rsidRPr="00BC02D2" w:rsidRDefault="007809A8" w:rsidP="007809A8">
      <w:pPr>
        <w:spacing w:after="0" w:line="240" w:lineRule="auto"/>
        <w:ind w:right="57" w:firstLine="567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305E69">
        <w:rPr>
          <w:rFonts w:ascii="Arial" w:eastAsia="Arial" w:hAnsi="Arial" w:cs="Arial"/>
          <w:i/>
          <w:sz w:val="16"/>
          <w:szCs w:val="16"/>
        </w:rPr>
        <w:t xml:space="preserve">Note: Replenishment of standby funds for FOs </w:t>
      </w:r>
      <w:r>
        <w:rPr>
          <w:rFonts w:ascii="Arial" w:eastAsia="Arial" w:hAnsi="Arial" w:cs="Arial"/>
          <w:i/>
          <w:sz w:val="16"/>
          <w:szCs w:val="16"/>
        </w:rPr>
        <w:t>XI and CAR</w:t>
      </w:r>
      <w:r w:rsidRPr="00305E69">
        <w:rPr>
          <w:rFonts w:ascii="Arial" w:eastAsia="Arial" w:hAnsi="Arial" w:cs="Arial"/>
          <w:i/>
          <w:sz w:val="16"/>
          <w:szCs w:val="16"/>
        </w:rPr>
        <w:t xml:space="preserve"> are being processed.</w:t>
      </w:r>
    </w:p>
    <w:p w14:paraId="4603CDC8" w14:textId="77777777" w:rsidR="007809A8" w:rsidRDefault="007809A8" w:rsidP="007809A8">
      <w:pPr>
        <w:spacing w:after="0" w:line="240" w:lineRule="auto"/>
        <w:ind w:left="648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Sources: DRMB and NRLMB</w:t>
      </w:r>
    </w:p>
    <w:p w14:paraId="5FEA1D41" w14:textId="77777777" w:rsidR="007809A8" w:rsidRDefault="007809A8" w:rsidP="007809A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650D34" w14:textId="5A9F161A" w:rsidR="007809A8" w:rsidRDefault="004E06B3" w:rsidP="007809A8">
      <w:pPr>
        <w:pStyle w:val="NoSpacing"/>
        <w:numPr>
          <w:ilvl w:val="0"/>
          <w:numId w:val="28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Situational Reports</w:t>
      </w:r>
    </w:p>
    <w:p w14:paraId="75B11B35" w14:textId="77777777" w:rsidR="007809A8" w:rsidRDefault="007809A8" w:rsidP="007809A8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FBBDC5D" w14:textId="145DA597" w:rsidR="007809A8" w:rsidRDefault="007809A8" w:rsidP="007809A8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DSWD-DRMB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809A8" w:rsidRPr="006B4BAB" w14:paraId="42AEBE37" w14:textId="77777777" w:rsidTr="00B00AC0">
        <w:trPr>
          <w:tblHeader/>
        </w:trPr>
        <w:tc>
          <w:tcPr>
            <w:tcW w:w="2025" w:type="dxa"/>
          </w:tcPr>
          <w:p w14:paraId="5501AE48" w14:textId="77777777" w:rsidR="007809A8" w:rsidRPr="006B4BAB" w:rsidRDefault="007809A8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C87D979" w14:textId="77777777" w:rsidR="007809A8" w:rsidRPr="006B4BAB" w:rsidRDefault="007809A8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809A8" w:rsidRPr="006B4BAB" w14:paraId="2CECFD4D" w14:textId="77777777" w:rsidTr="00B00AC0">
        <w:trPr>
          <w:tblHeader/>
        </w:trPr>
        <w:tc>
          <w:tcPr>
            <w:tcW w:w="2025" w:type="dxa"/>
          </w:tcPr>
          <w:p w14:paraId="44C413DB" w14:textId="56D5BCC8" w:rsidR="007809A8" w:rsidRPr="006B4BAB" w:rsidRDefault="007809A8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29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313A842A" w14:textId="065F75EF" w:rsidR="007809A8" w:rsidRPr="00AF292C" w:rsidRDefault="007809A8" w:rsidP="007809A8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The Disaster Response Operations Monitoring and Information Center (DROMIC) of the DSWD-DRMB is closely coordinating with the DSWD-Field Offices for significant updates on disaster preparedness for response with regards to the observation of </w:t>
            </w:r>
            <w:r w:rsidR="001F0FAC">
              <w:rPr>
                <w:rFonts w:ascii="Arial" w:hAnsi="Arial" w:cs="Arial"/>
                <w:bCs/>
                <w:sz w:val="20"/>
                <w:szCs w:val="24"/>
              </w:rPr>
              <w:t>“UNDAS”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2021.</w:t>
            </w:r>
          </w:p>
        </w:tc>
      </w:tr>
    </w:tbl>
    <w:p w14:paraId="5BE11C22" w14:textId="0CB1A5F4" w:rsidR="007809A8" w:rsidRDefault="007809A8" w:rsidP="007809A8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6382CBA" w14:textId="173CFD85" w:rsidR="003B27F0" w:rsidRDefault="003B27F0" w:rsidP="007809A8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95D86C3" w14:textId="77777777" w:rsidR="003B27F0" w:rsidRDefault="003B27F0" w:rsidP="003B27F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CALABARZON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3B27F0" w:rsidRPr="006B4BAB" w14:paraId="41D1A06B" w14:textId="77777777" w:rsidTr="00B00AC0">
        <w:trPr>
          <w:tblHeader/>
        </w:trPr>
        <w:tc>
          <w:tcPr>
            <w:tcW w:w="2025" w:type="dxa"/>
          </w:tcPr>
          <w:p w14:paraId="2407C6E6" w14:textId="77777777" w:rsidR="003B27F0" w:rsidRPr="006B4BAB" w:rsidRDefault="003B27F0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9663A26" w14:textId="77777777" w:rsidR="003B27F0" w:rsidRPr="006B4BAB" w:rsidRDefault="003B27F0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B27F0" w:rsidRPr="006B4BAB" w14:paraId="0774CF54" w14:textId="77777777" w:rsidTr="00B00AC0">
        <w:trPr>
          <w:tblHeader/>
        </w:trPr>
        <w:tc>
          <w:tcPr>
            <w:tcW w:w="2025" w:type="dxa"/>
          </w:tcPr>
          <w:p w14:paraId="2203EFD5" w14:textId="77777777" w:rsidR="003B27F0" w:rsidRPr="006B4BAB" w:rsidRDefault="003B27F0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29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0BA469B8" w14:textId="1FBFCB2B" w:rsidR="002927AA" w:rsidRDefault="002927AA" w:rsidP="002927AA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 FO-CALABARZON attended meetings with different agencies on the response cluster relative to the adherence of health and safety protocols in the observance of </w:t>
            </w:r>
            <w:r w:rsidR="001F0FAC">
              <w:rPr>
                <w:rFonts w:ascii="Arial" w:hAnsi="Arial" w:cs="Arial"/>
                <w:bCs/>
                <w:sz w:val="20"/>
                <w:szCs w:val="24"/>
              </w:rPr>
              <w:t>“UNDAS”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2021.</w:t>
            </w:r>
          </w:p>
          <w:p w14:paraId="0C147262" w14:textId="515E1F12" w:rsidR="002927AA" w:rsidRPr="001F0FAC" w:rsidRDefault="002927AA" w:rsidP="001F0FAC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 FO-CALABARZON </w:t>
            </w:r>
            <w:r w:rsidR="001F0FAC">
              <w:rPr>
                <w:rFonts w:ascii="Arial" w:hAnsi="Arial" w:cs="Arial"/>
                <w:bCs/>
                <w:sz w:val="20"/>
                <w:szCs w:val="24"/>
              </w:rPr>
              <w:t>Emergency Operations Center remains on heightened alert status to monitor the situation relative to the observance of “UNDAS”.</w:t>
            </w:r>
          </w:p>
        </w:tc>
      </w:tr>
    </w:tbl>
    <w:p w14:paraId="2742860F" w14:textId="77777777" w:rsidR="003B27F0" w:rsidRPr="007809A8" w:rsidRDefault="003B27F0" w:rsidP="003B27F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8782D74" w14:textId="26E40AA2" w:rsidR="007809A8" w:rsidRDefault="007809A8" w:rsidP="007809A8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</w:t>
      </w:r>
      <w:r w:rsidR="009B1C3E">
        <w:rPr>
          <w:rFonts w:ascii="Arial" w:hAnsi="Arial" w:cs="Arial"/>
          <w:b/>
          <w:sz w:val="24"/>
          <w:szCs w:val="24"/>
        </w:rPr>
        <w:t xml:space="preserve">FO </w:t>
      </w:r>
      <w:r w:rsidR="003B27F0"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809A8" w:rsidRPr="006B4BAB" w14:paraId="26055D3A" w14:textId="77777777" w:rsidTr="00B00AC0">
        <w:trPr>
          <w:tblHeader/>
        </w:trPr>
        <w:tc>
          <w:tcPr>
            <w:tcW w:w="2025" w:type="dxa"/>
          </w:tcPr>
          <w:p w14:paraId="05746D0C" w14:textId="77777777" w:rsidR="007809A8" w:rsidRPr="006B4BAB" w:rsidRDefault="007809A8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E8817C9" w14:textId="77777777" w:rsidR="007809A8" w:rsidRPr="006B4BAB" w:rsidRDefault="007809A8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809A8" w:rsidRPr="006B4BAB" w14:paraId="4862E83E" w14:textId="77777777" w:rsidTr="00B00AC0">
        <w:trPr>
          <w:tblHeader/>
        </w:trPr>
        <w:tc>
          <w:tcPr>
            <w:tcW w:w="2025" w:type="dxa"/>
          </w:tcPr>
          <w:p w14:paraId="36D6406E" w14:textId="1AFE7FBF" w:rsidR="007809A8" w:rsidRPr="006B4BAB" w:rsidRDefault="003B27F0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26</w:t>
            </w:r>
            <w:r w:rsidR="007809A8"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5D1B7A83" w14:textId="64E12B13" w:rsidR="007809A8" w:rsidRDefault="001F0FAC" w:rsidP="001F0FAC">
            <w:pPr>
              <w:pStyle w:val="NoSpacing"/>
              <w:numPr>
                <w:ilvl w:val="0"/>
                <w:numId w:val="20"/>
              </w:numPr>
              <w:ind w:left="319" w:hanging="283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 FO-VI coordinated </w:t>
            </w:r>
            <w:r w:rsidRPr="001F0FAC">
              <w:rPr>
                <w:rFonts w:ascii="Arial" w:hAnsi="Arial" w:cs="Arial"/>
                <w:bCs/>
                <w:sz w:val="20"/>
                <w:szCs w:val="24"/>
              </w:rPr>
              <w:t>with the LGU</w:t>
            </w:r>
            <w:r>
              <w:rPr>
                <w:rFonts w:ascii="Arial" w:hAnsi="Arial" w:cs="Arial"/>
                <w:bCs/>
                <w:sz w:val="20"/>
                <w:szCs w:val="24"/>
              </w:rPr>
              <w:t>s</w:t>
            </w:r>
            <w:r w:rsidRPr="001F0FAC">
              <w:rPr>
                <w:rFonts w:ascii="Arial" w:hAnsi="Arial" w:cs="Arial"/>
                <w:bCs/>
                <w:sz w:val="20"/>
                <w:szCs w:val="24"/>
              </w:rPr>
              <w:t xml:space="preserve"> and of other agencies,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also</w:t>
            </w:r>
            <w:r w:rsidRPr="001F0FAC">
              <w:rPr>
                <w:rFonts w:ascii="Arial" w:hAnsi="Arial" w:cs="Arial"/>
                <w:bCs/>
                <w:sz w:val="20"/>
                <w:szCs w:val="24"/>
              </w:rPr>
              <w:t xml:space="preserve"> deployed staff </w:t>
            </w:r>
            <w:r>
              <w:rPr>
                <w:rFonts w:ascii="Arial" w:hAnsi="Arial" w:cs="Arial"/>
                <w:bCs/>
                <w:sz w:val="20"/>
                <w:szCs w:val="24"/>
              </w:rPr>
              <w:t>to</w:t>
            </w:r>
            <w:r w:rsidRPr="001F0FAC">
              <w:rPr>
                <w:rFonts w:ascii="Arial" w:hAnsi="Arial" w:cs="Arial"/>
                <w:bCs/>
                <w:sz w:val="20"/>
                <w:szCs w:val="24"/>
              </w:rPr>
              <w:t xml:space="preserve"> ensure the strict implementation of minimum pub</w:t>
            </w:r>
            <w:r>
              <w:rPr>
                <w:rFonts w:ascii="Arial" w:hAnsi="Arial" w:cs="Arial"/>
                <w:bCs/>
                <w:sz w:val="20"/>
                <w:szCs w:val="24"/>
              </w:rPr>
              <w:t>lic health and safety protocols in the observance of “UNDAS” 2021.</w:t>
            </w:r>
          </w:p>
          <w:p w14:paraId="1BFF4903" w14:textId="77777777" w:rsidR="001F0FAC" w:rsidRDefault="001F0FAC" w:rsidP="001F0FAC">
            <w:pPr>
              <w:pStyle w:val="NoSpacing"/>
              <w:numPr>
                <w:ilvl w:val="0"/>
                <w:numId w:val="20"/>
              </w:numPr>
              <w:ind w:left="319" w:hanging="283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 FO-VI continues to monitor and disseminate real time weather reports and/or updates thru their official Facebook page.</w:t>
            </w:r>
          </w:p>
          <w:p w14:paraId="547284F1" w14:textId="27DE7370" w:rsidR="001F0FAC" w:rsidRPr="00AF292C" w:rsidRDefault="001F0FAC" w:rsidP="001F0FAC">
            <w:pPr>
              <w:pStyle w:val="NoSpacing"/>
              <w:numPr>
                <w:ilvl w:val="0"/>
                <w:numId w:val="20"/>
              </w:numPr>
              <w:ind w:left="319" w:hanging="283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</w:tbl>
    <w:p w14:paraId="07F1DFBF" w14:textId="77777777" w:rsidR="007809A8" w:rsidRDefault="007809A8" w:rsidP="0078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53D674" w14:textId="77777777" w:rsidR="007809A8" w:rsidRDefault="007809A8" w:rsidP="00C122A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p w14:paraId="6F8FA311" w14:textId="77777777" w:rsidR="00C122AF" w:rsidRPr="00C122AF" w:rsidRDefault="00C122AF" w:rsidP="00C122A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4FD69D56" w14:textId="252B863B" w:rsidR="00F96CAA" w:rsidRDefault="007F2E58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1C95A1B" w14:textId="77777777" w:rsidR="00C122AF" w:rsidRPr="00FE7C33" w:rsidRDefault="00C122AF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76EE98" w14:textId="370A2BC5" w:rsidR="005A1A7D" w:rsidRDefault="003B27F0" w:rsidP="00AC0AD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5A1A7D">
              <w:rPr>
                <w:rFonts w:ascii="Arial" w:hAnsi="Arial" w:cs="Arial"/>
                <w:b/>
                <w:bCs/>
                <w:sz w:val="24"/>
                <w:szCs w:val="24"/>
              </w:rPr>
              <w:t>ARON JOHN B. PASCUA</w:t>
            </w:r>
          </w:p>
          <w:p w14:paraId="1E768C6A" w14:textId="6133E948" w:rsidR="00A03B4C" w:rsidRPr="00FE7C33" w:rsidRDefault="00A03B4C" w:rsidP="00AC0AD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04320DCC" w:rsidR="007F2E58" w:rsidRPr="00FE7C33" w:rsidRDefault="007F2E58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5B070DC" w:rsidR="007F2E58" w:rsidRPr="00FE7C33" w:rsidRDefault="005A1A7D" w:rsidP="00284B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FE7C33" w:rsidRDefault="007F2E58" w:rsidP="00284B12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26"/>
      <w:footerReference w:type="default" r:id="rId27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2B58E" w14:textId="77777777" w:rsidR="00FE735E" w:rsidRDefault="00FE735E" w:rsidP="00C12445">
      <w:pPr>
        <w:spacing w:after="0" w:line="240" w:lineRule="auto"/>
      </w:pPr>
      <w:r>
        <w:separator/>
      </w:r>
    </w:p>
  </w:endnote>
  <w:endnote w:type="continuationSeparator" w:id="0">
    <w:p w14:paraId="7EA48186" w14:textId="77777777" w:rsidR="00FE735E" w:rsidRDefault="00FE735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D32B1A" w:rsidRPr="00905CC2" w:rsidRDefault="00D32B1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094ABFB" w:rsidR="00D32B1A" w:rsidRPr="00CB6F4E" w:rsidRDefault="00D32B1A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#18 on</w:t>
            </w:r>
            <w:r w:rsidRPr="00F61E34">
              <w:rPr>
                <w:sz w:val="16"/>
                <w:szCs w:val="20"/>
              </w:rPr>
              <w:t xml:space="preserve"> Severe Tropical Storm “MARING” </w:t>
            </w:r>
            <w:r>
              <w:rPr>
                <w:sz w:val="16"/>
                <w:szCs w:val="20"/>
              </w:rPr>
              <w:t>as of 2</w:t>
            </w:r>
            <w:r w:rsidR="002B0465">
              <w:rPr>
                <w:sz w:val="16"/>
                <w:szCs w:val="20"/>
              </w:rPr>
              <w:t>9</w:t>
            </w:r>
            <w:r>
              <w:rPr>
                <w:sz w:val="16"/>
                <w:szCs w:val="20"/>
              </w:rPr>
              <w:t xml:space="preserve"> October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5062E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5062E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AAA70" w14:textId="77777777" w:rsidR="00FE735E" w:rsidRDefault="00FE735E" w:rsidP="00C12445">
      <w:pPr>
        <w:spacing w:after="0" w:line="240" w:lineRule="auto"/>
      </w:pPr>
      <w:r>
        <w:separator/>
      </w:r>
    </w:p>
  </w:footnote>
  <w:footnote w:type="continuationSeparator" w:id="0">
    <w:p w14:paraId="56FD2DE8" w14:textId="77777777" w:rsidR="00FE735E" w:rsidRDefault="00FE735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D32B1A" w:rsidRDefault="00D32B1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D32B1A" w:rsidRDefault="00D32B1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D32B1A" w:rsidRDefault="00D32B1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D32B1A" w:rsidRDefault="00D32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5B"/>
    <w:multiLevelType w:val="hybridMultilevel"/>
    <w:tmpl w:val="4D4CB81E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D1BC8"/>
    <w:multiLevelType w:val="hybridMultilevel"/>
    <w:tmpl w:val="AD041E7C"/>
    <w:lvl w:ilvl="0" w:tplc="3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C69E1"/>
    <w:multiLevelType w:val="hybridMultilevel"/>
    <w:tmpl w:val="80385A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B4DDD"/>
    <w:multiLevelType w:val="multilevel"/>
    <w:tmpl w:val="C4C686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9"/>
  </w:num>
  <w:num w:numId="5">
    <w:abstractNumId w:val="3"/>
  </w:num>
  <w:num w:numId="6">
    <w:abstractNumId w:val="9"/>
  </w:num>
  <w:num w:numId="7">
    <w:abstractNumId w:val="27"/>
  </w:num>
  <w:num w:numId="8">
    <w:abstractNumId w:val="1"/>
  </w:num>
  <w:num w:numId="9">
    <w:abstractNumId w:val="14"/>
  </w:num>
  <w:num w:numId="10">
    <w:abstractNumId w:val="16"/>
  </w:num>
  <w:num w:numId="11">
    <w:abstractNumId w:val="23"/>
  </w:num>
  <w:num w:numId="12">
    <w:abstractNumId w:val="17"/>
  </w:num>
  <w:num w:numId="13">
    <w:abstractNumId w:val="20"/>
  </w:num>
  <w:num w:numId="14">
    <w:abstractNumId w:val="22"/>
  </w:num>
  <w:num w:numId="15">
    <w:abstractNumId w:val="18"/>
  </w:num>
  <w:num w:numId="16">
    <w:abstractNumId w:val="4"/>
  </w:num>
  <w:num w:numId="17">
    <w:abstractNumId w:val="6"/>
  </w:num>
  <w:num w:numId="18">
    <w:abstractNumId w:val="26"/>
  </w:num>
  <w:num w:numId="19">
    <w:abstractNumId w:val="24"/>
  </w:num>
  <w:num w:numId="20">
    <w:abstractNumId w:val="11"/>
  </w:num>
  <w:num w:numId="21">
    <w:abstractNumId w:val="7"/>
  </w:num>
  <w:num w:numId="22">
    <w:abstractNumId w:val="8"/>
  </w:num>
  <w:num w:numId="23">
    <w:abstractNumId w:val="21"/>
  </w:num>
  <w:num w:numId="24">
    <w:abstractNumId w:val="10"/>
  </w:num>
  <w:num w:numId="25">
    <w:abstractNumId w:val="25"/>
  </w:num>
  <w:num w:numId="26">
    <w:abstractNumId w:val="15"/>
  </w:num>
  <w:num w:numId="27">
    <w:abstractNumId w:val="0"/>
  </w:num>
  <w:num w:numId="2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5289"/>
    <w:rsid w:val="00047727"/>
    <w:rsid w:val="000523F6"/>
    <w:rsid w:val="00052F0B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0B0"/>
    <w:rsid w:val="000814E2"/>
    <w:rsid w:val="00081953"/>
    <w:rsid w:val="00081B1F"/>
    <w:rsid w:val="000823FB"/>
    <w:rsid w:val="00082BEC"/>
    <w:rsid w:val="00083B22"/>
    <w:rsid w:val="0008449C"/>
    <w:rsid w:val="00085D69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3014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05FBC"/>
    <w:rsid w:val="00112FC8"/>
    <w:rsid w:val="00114A52"/>
    <w:rsid w:val="00115B8C"/>
    <w:rsid w:val="00116523"/>
    <w:rsid w:val="0011703D"/>
    <w:rsid w:val="00121396"/>
    <w:rsid w:val="001220F8"/>
    <w:rsid w:val="001222C5"/>
    <w:rsid w:val="00122464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6CF"/>
    <w:rsid w:val="00165CBC"/>
    <w:rsid w:val="00167B25"/>
    <w:rsid w:val="001709B0"/>
    <w:rsid w:val="00173C4B"/>
    <w:rsid w:val="00174B8B"/>
    <w:rsid w:val="00175FBE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0906"/>
    <w:rsid w:val="00191C74"/>
    <w:rsid w:val="001942B0"/>
    <w:rsid w:val="00195411"/>
    <w:rsid w:val="00196C23"/>
    <w:rsid w:val="00197CAB"/>
    <w:rsid w:val="00197FA6"/>
    <w:rsid w:val="001A00F7"/>
    <w:rsid w:val="001A030C"/>
    <w:rsid w:val="001A1677"/>
    <w:rsid w:val="001A2814"/>
    <w:rsid w:val="001A3CF2"/>
    <w:rsid w:val="001A5700"/>
    <w:rsid w:val="001A6A2F"/>
    <w:rsid w:val="001B03D0"/>
    <w:rsid w:val="001B0EB8"/>
    <w:rsid w:val="001B27B2"/>
    <w:rsid w:val="001B2883"/>
    <w:rsid w:val="001B31B0"/>
    <w:rsid w:val="001B3A1E"/>
    <w:rsid w:val="001C25B5"/>
    <w:rsid w:val="001C4214"/>
    <w:rsid w:val="001C44A9"/>
    <w:rsid w:val="001C657E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0FAC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12CAD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6F6E"/>
    <w:rsid w:val="00257CC4"/>
    <w:rsid w:val="00261A8B"/>
    <w:rsid w:val="00265A68"/>
    <w:rsid w:val="002678FF"/>
    <w:rsid w:val="00267E35"/>
    <w:rsid w:val="002706F0"/>
    <w:rsid w:val="00272700"/>
    <w:rsid w:val="002734DB"/>
    <w:rsid w:val="00274C90"/>
    <w:rsid w:val="002769EF"/>
    <w:rsid w:val="00277FAD"/>
    <w:rsid w:val="00280D58"/>
    <w:rsid w:val="00281BA5"/>
    <w:rsid w:val="002825BE"/>
    <w:rsid w:val="002836CA"/>
    <w:rsid w:val="0028413B"/>
    <w:rsid w:val="00284B12"/>
    <w:rsid w:val="00285162"/>
    <w:rsid w:val="002865A7"/>
    <w:rsid w:val="0028707A"/>
    <w:rsid w:val="00287DE7"/>
    <w:rsid w:val="002927AA"/>
    <w:rsid w:val="00292FEB"/>
    <w:rsid w:val="00293A9A"/>
    <w:rsid w:val="0029460B"/>
    <w:rsid w:val="002962C3"/>
    <w:rsid w:val="002971E4"/>
    <w:rsid w:val="002A004E"/>
    <w:rsid w:val="002A01E5"/>
    <w:rsid w:val="002A0CF8"/>
    <w:rsid w:val="002A7044"/>
    <w:rsid w:val="002B0465"/>
    <w:rsid w:val="002B1691"/>
    <w:rsid w:val="002B3899"/>
    <w:rsid w:val="002B518B"/>
    <w:rsid w:val="002B56CF"/>
    <w:rsid w:val="002B5D76"/>
    <w:rsid w:val="002B6C2C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1F41"/>
    <w:rsid w:val="002E3EA8"/>
    <w:rsid w:val="002E56F4"/>
    <w:rsid w:val="002E62F8"/>
    <w:rsid w:val="002E7277"/>
    <w:rsid w:val="002E760C"/>
    <w:rsid w:val="002E76DA"/>
    <w:rsid w:val="002E7A38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07615"/>
    <w:rsid w:val="003100D9"/>
    <w:rsid w:val="003102F9"/>
    <w:rsid w:val="00314236"/>
    <w:rsid w:val="0031449E"/>
    <w:rsid w:val="003156EE"/>
    <w:rsid w:val="00315AB0"/>
    <w:rsid w:val="00315E65"/>
    <w:rsid w:val="00315FFB"/>
    <w:rsid w:val="0031605C"/>
    <w:rsid w:val="00316EB6"/>
    <w:rsid w:val="003172D0"/>
    <w:rsid w:val="00320FE1"/>
    <w:rsid w:val="00321DD9"/>
    <w:rsid w:val="00321E07"/>
    <w:rsid w:val="003220A1"/>
    <w:rsid w:val="003224B2"/>
    <w:rsid w:val="003228C9"/>
    <w:rsid w:val="00323014"/>
    <w:rsid w:val="003237C6"/>
    <w:rsid w:val="0032420F"/>
    <w:rsid w:val="00325351"/>
    <w:rsid w:val="00325BDD"/>
    <w:rsid w:val="00327113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0B2C"/>
    <w:rsid w:val="0037380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0A2D"/>
    <w:rsid w:val="00381765"/>
    <w:rsid w:val="00381DC7"/>
    <w:rsid w:val="00382598"/>
    <w:rsid w:val="003832FB"/>
    <w:rsid w:val="00384881"/>
    <w:rsid w:val="0038613A"/>
    <w:rsid w:val="00387A68"/>
    <w:rsid w:val="00387B86"/>
    <w:rsid w:val="00387CB3"/>
    <w:rsid w:val="003916D5"/>
    <w:rsid w:val="00392CC3"/>
    <w:rsid w:val="00394E19"/>
    <w:rsid w:val="003978D4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27F0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4BDA"/>
    <w:rsid w:val="003D5188"/>
    <w:rsid w:val="003D7C5F"/>
    <w:rsid w:val="003E3D36"/>
    <w:rsid w:val="003E5113"/>
    <w:rsid w:val="003E79B6"/>
    <w:rsid w:val="003E7D52"/>
    <w:rsid w:val="003F1BF2"/>
    <w:rsid w:val="003F25F0"/>
    <w:rsid w:val="003F2FED"/>
    <w:rsid w:val="003F35C0"/>
    <w:rsid w:val="003F61BF"/>
    <w:rsid w:val="0040103B"/>
    <w:rsid w:val="00402318"/>
    <w:rsid w:val="00402906"/>
    <w:rsid w:val="00404E51"/>
    <w:rsid w:val="00404F4F"/>
    <w:rsid w:val="00405669"/>
    <w:rsid w:val="00405756"/>
    <w:rsid w:val="0040606F"/>
    <w:rsid w:val="00406577"/>
    <w:rsid w:val="00406BBF"/>
    <w:rsid w:val="00406F7C"/>
    <w:rsid w:val="00410987"/>
    <w:rsid w:val="00411558"/>
    <w:rsid w:val="00413BC7"/>
    <w:rsid w:val="004208E9"/>
    <w:rsid w:val="00420958"/>
    <w:rsid w:val="00422D32"/>
    <w:rsid w:val="00424283"/>
    <w:rsid w:val="00425177"/>
    <w:rsid w:val="004259BF"/>
    <w:rsid w:val="0043312F"/>
    <w:rsid w:val="00433A22"/>
    <w:rsid w:val="00440310"/>
    <w:rsid w:val="0044046F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210"/>
    <w:rsid w:val="00451A87"/>
    <w:rsid w:val="00451DC2"/>
    <w:rsid w:val="004551A9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157C"/>
    <w:rsid w:val="004A58B1"/>
    <w:rsid w:val="004A633D"/>
    <w:rsid w:val="004A792D"/>
    <w:rsid w:val="004B0877"/>
    <w:rsid w:val="004B3DF9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6B3"/>
    <w:rsid w:val="004E0B17"/>
    <w:rsid w:val="004E1C60"/>
    <w:rsid w:val="004E30B8"/>
    <w:rsid w:val="004E4F22"/>
    <w:rsid w:val="004E63E3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543D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78B1"/>
    <w:rsid w:val="0055062E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2208"/>
    <w:rsid w:val="0058442C"/>
    <w:rsid w:val="00584C3C"/>
    <w:rsid w:val="005862BC"/>
    <w:rsid w:val="00593841"/>
    <w:rsid w:val="0059395E"/>
    <w:rsid w:val="00593E54"/>
    <w:rsid w:val="0059407D"/>
    <w:rsid w:val="005964A6"/>
    <w:rsid w:val="0059671E"/>
    <w:rsid w:val="00597F5C"/>
    <w:rsid w:val="005A1A7D"/>
    <w:rsid w:val="005A242E"/>
    <w:rsid w:val="005A4529"/>
    <w:rsid w:val="005A5962"/>
    <w:rsid w:val="005A72F2"/>
    <w:rsid w:val="005B218F"/>
    <w:rsid w:val="005B2DC1"/>
    <w:rsid w:val="005B2EF0"/>
    <w:rsid w:val="005B4225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D7A1F"/>
    <w:rsid w:val="005E00D0"/>
    <w:rsid w:val="005E07EA"/>
    <w:rsid w:val="005E0B74"/>
    <w:rsid w:val="005E1689"/>
    <w:rsid w:val="005E1784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003A"/>
    <w:rsid w:val="00620585"/>
    <w:rsid w:val="006217C3"/>
    <w:rsid w:val="00621C03"/>
    <w:rsid w:val="006229B1"/>
    <w:rsid w:val="006258C6"/>
    <w:rsid w:val="00630F7A"/>
    <w:rsid w:val="00631165"/>
    <w:rsid w:val="0063253F"/>
    <w:rsid w:val="00636D16"/>
    <w:rsid w:val="00637EA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03E5"/>
    <w:rsid w:val="007206EC"/>
    <w:rsid w:val="0072102F"/>
    <w:rsid w:val="00724C56"/>
    <w:rsid w:val="00724E89"/>
    <w:rsid w:val="00724F28"/>
    <w:rsid w:val="00732FC9"/>
    <w:rsid w:val="007367B5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7281"/>
    <w:rsid w:val="00757B6F"/>
    <w:rsid w:val="00757BDF"/>
    <w:rsid w:val="00761A59"/>
    <w:rsid w:val="007623D7"/>
    <w:rsid w:val="00762805"/>
    <w:rsid w:val="00762914"/>
    <w:rsid w:val="00763139"/>
    <w:rsid w:val="00766A61"/>
    <w:rsid w:val="00767876"/>
    <w:rsid w:val="00771BF3"/>
    <w:rsid w:val="0077291D"/>
    <w:rsid w:val="00772EDE"/>
    <w:rsid w:val="00772FC3"/>
    <w:rsid w:val="00774752"/>
    <w:rsid w:val="00776B3E"/>
    <w:rsid w:val="00780417"/>
    <w:rsid w:val="007809A8"/>
    <w:rsid w:val="00781118"/>
    <w:rsid w:val="007813C1"/>
    <w:rsid w:val="007820C2"/>
    <w:rsid w:val="00782941"/>
    <w:rsid w:val="0078569D"/>
    <w:rsid w:val="00785BAD"/>
    <w:rsid w:val="00791790"/>
    <w:rsid w:val="00791EBD"/>
    <w:rsid w:val="00793475"/>
    <w:rsid w:val="007945C1"/>
    <w:rsid w:val="0079581D"/>
    <w:rsid w:val="007965E7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95A"/>
    <w:rsid w:val="007F1504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17BE"/>
    <w:rsid w:val="008029E5"/>
    <w:rsid w:val="0080412B"/>
    <w:rsid w:val="00806329"/>
    <w:rsid w:val="00812F7A"/>
    <w:rsid w:val="00813257"/>
    <w:rsid w:val="008136AC"/>
    <w:rsid w:val="008153ED"/>
    <w:rsid w:val="00820D42"/>
    <w:rsid w:val="00821064"/>
    <w:rsid w:val="00821C9B"/>
    <w:rsid w:val="00823263"/>
    <w:rsid w:val="0082392A"/>
    <w:rsid w:val="00824D6A"/>
    <w:rsid w:val="0082566F"/>
    <w:rsid w:val="008271AB"/>
    <w:rsid w:val="00832FE7"/>
    <w:rsid w:val="00833DE4"/>
    <w:rsid w:val="00834EF4"/>
    <w:rsid w:val="00835D9E"/>
    <w:rsid w:val="00837DB5"/>
    <w:rsid w:val="0084031C"/>
    <w:rsid w:val="00840599"/>
    <w:rsid w:val="008406C4"/>
    <w:rsid w:val="00842466"/>
    <w:rsid w:val="00843A9D"/>
    <w:rsid w:val="00844A6E"/>
    <w:rsid w:val="00847EB9"/>
    <w:rsid w:val="00850427"/>
    <w:rsid w:val="00850FF0"/>
    <w:rsid w:val="008530A8"/>
    <w:rsid w:val="008542F8"/>
    <w:rsid w:val="00855400"/>
    <w:rsid w:val="0085601D"/>
    <w:rsid w:val="00856769"/>
    <w:rsid w:val="00862430"/>
    <w:rsid w:val="008643E4"/>
    <w:rsid w:val="00864D10"/>
    <w:rsid w:val="0086788B"/>
    <w:rsid w:val="00870CBB"/>
    <w:rsid w:val="008731F5"/>
    <w:rsid w:val="008740FD"/>
    <w:rsid w:val="0087523C"/>
    <w:rsid w:val="00877921"/>
    <w:rsid w:val="008806F8"/>
    <w:rsid w:val="0088127C"/>
    <w:rsid w:val="008830CF"/>
    <w:rsid w:val="00887547"/>
    <w:rsid w:val="008909A9"/>
    <w:rsid w:val="00892479"/>
    <w:rsid w:val="0089263B"/>
    <w:rsid w:val="00892D49"/>
    <w:rsid w:val="0089302B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4718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5A46"/>
    <w:rsid w:val="008D7735"/>
    <w:rsid w:val="008E08FB"/>
    <w:rsid w:val="008E19A6"/>
    <w:rsid w:val="008E1C00"/>
    <w:rsid w:val="008E2670"/>
    <w:rsid w:val="008E2862"/>
    <w:rsid w:val="008E298E"/>
    <w:rsid w:val="008E649B"/>
    <w:rsid w:val="008E71AA"/>
    <w:rsid w:val="008E76A0"/>
    <w:rsid w:val="008F0B72"/>
    <w:rsid w:val="008F1954"/>
    <w:rsid w:val="008F2465"/>
    <w:rsid w:val="008F3CA0"/>
    <w:rsid w:val="008F561A"/>
    <w:rsid w:val="008F575A"/>
    <w:rsid w:val="008F6633"/>
    <w:rsid w:val="008F6E9B"/>
    <w:rsid w:val="00900B1C"/>
    <w:rsid w:val="0090112B"/>
    <w:rsid w:val="009022F0"/>
    <w:rsid w:val="00903749"/>
    <w:rsid w:val="0090385E"/>
    <w:rsid w:val="009045BC"/>
    <w:rsid w:val="00904AD8"/>
    <w:rsid w:val="00905CC2"/>
    <w:rsid w:val="009063CE"/>
    <w:rsid w:val="00911570"/>
    <w:rsid w:val="00911FA7"/>
    <w:rsid w:val="00913853"/>
    <w:rsid w:val="009139B6"/>
    <w:rsid w:val="00913CF4"/>
    <w:rsid w:val="00914086"/>
    <w:rsid w:val="00914ACB"/>
    <w:rsid w:val="00916650"/>
    <w:rsid w:val="009172C3"/>
    <w:rsid w:val="0092193D"/>
    <w:rsid w:val="00921D4C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35700"/>
    <w:rsid w:val="009371CE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57BFD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3704"/>
    <w:rsid w:val="00994BAA"/>
    <w:rsid w:val="0099537C"/>
    <w:rsid w:val="0099552F"/>
    <w:rsid w:val="009960C3"/>
    <w:rsid w:val="009966F3"/>
    <w:rsid w:val="009977DF"/>
    <w:rsid w:val="009A0914"/>
    <w:rsid w:val="009A1611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3E"/>
    <w:rsid w:val="009B1CA1"/>
    <w:rsid w:val="009B3B07"/>
    <w:rsid w:val="009B521C"/>
    <w:rsid w:val="009B6CBE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433"/>
    <w:rsid w:val="009E0C40"/>
    <w:rsid w:val="009E102B"/>
    <w:rsid w:val="009E18F8"/>
    <w:rsid w:val="009E1AB2"/>
    <w:rsid w:val="009E349D"/>
    <w:rsid w:val="009E4FA8"/>
    <w:rsid w:val="009E5D76"/>
    <w:rsid w:val="009E6944"/>
    <w:rsid w:val="009E6C55"/>
    <w:rsid w:val="009E756C"/>
    <w:rsid w:val="009E77BB"/>
    <w:rsid w:val="009F16E3"/>
    <w:rsid w:val="009F1788"/>
    <w:rsid w:val="009F26CC"/>
    <w:rsid w:val="009F26F2"/>
    <w:rsid w:val="009F34F8"/>
    <w:rsid w:val="009F40A6"/>
    <w:rsid w:val="009F459A"/>
    <w:rsid w:val="009F6005"/>
    <w:rsid w:val="00A01869"/>
    <w:rsid w:val="00A03B4C"/>
    <w:rsid w:val="00A049F2"/>
    <w:rsid w:val="00A06F34"/>
    <w:rsid w:val="00A105E0"/>
    <w:rsid w:val="00A12B08"/>
    <w:rsid w:val="00A13F40"/>
    <w:rsid w:val="00A14872"/>
    <w:rsid w:val="00A15EC3"/>
    <w:rsid w:val="00A201C6"/>
    <w:rsid w:val="00A2085F"/>
    <w:rsid w:val="00A2215A"/>
    <w:rsid w:val="00A22D14"/>
    <w:rsid w:val="00A23091"/>
    <w:rsid w:val="00A23194"/>
    <w:rsid w:val="00A25361"/>
    <w:rsid w:val="00A263EC"/>
    <w:rsid w:val="00A33238"/>
    <w:rsid w:val="00A33265"/>
    <w:rsid w:val="00A3748E"/>
    <w:rsid w:val="00A37FF9"/>
    <w:rsid w:val="00A40085"/>
    <w:rsid w:val="00A41455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B50"/>
    <w:rsid w:val="00A64291"/>
    <w:rsid w:val="00A64DA4"/>
    <w:rsid w:val="00A711E8"/>
    <w:rsid w:val="00A72C03"/>
    <w:rsid w:val="00A813E5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1452"/>
    <w:rsid w:val="00AB1B7A"/>
    <w:rsid w:val="00AB1C48"/>
    <w:rsid w:val="00AB2139"/>
    <w:rsid w:val="00AB2BAA"/>
    <w:rsid w:val="00AB3116"/>
    <w:rsid w:val="00AB3523"/>
    <w:rsid w:val="00AB3C77"/>
    <w:rsid w:val="00AB3E8E"/>
    <w:rsid w:val="00AB5089"/>
    <w:rsid w:val="00AB5A04"/>
    <w:rsid w:val="00AB6F2F"/>
    <w:rsid w:val="00AC0AD4"/>
    <w:rsid w:val="00AC1E0A"/>
    <w:rsid w:val="00AC2133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3E9A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49FC"/>
    <w:rsid w:val="00B553E5"/>
    <w:rsid w:val="00B55D6C"/>
    <w:rsid w:val="00B56120"/>
    <w:rsid w:val="00B56C97"/>
    <w:rsid w:val="00B60797"/>
    <w:rsid w:val="00B65458"/>
    <w:rsid w:val="00B66031"/>
    <w:rsid w:val="00B7009B"/>
    <w:rsid w:val="00B704FD"/>
    <w:rsid w:val="00B70B51"/>
    <w:rsid w:val="00B70ED2"/>
    <w:rsid w:val="00B71801"/>
    <w:rsid w:val="00B71EB1"/>
    <w:rsid w:val="00B72BEE"/>
    <w:rsid w:val="00B72D1C"/>
    <w:rsid w:val="00B7565C"/>
    <w:rsid w:val="00B767CC"/>
    <w:rsid w:val="00B807D9"/>
    <w:rsid w:val="00B81CD8"/>
    <w:rsid w:val="00B835D6"/>
    <w:rsid w:val="00B854AF"/>
    <w:rsid w:val="00B862F9"/>
    <w:rsid w:val="00B90DAD"/>
    <w:rsid w:val="00B91234"/>
    <w:rsid w:val="00B9261A"/>
    <w:rsid w:val="00B92E7B"/>
    <w:rsid w:val="00B93569"/>
    <w:rsid w:val="00B9480B"/>
    <w:rsid w:val="00B961AA"/>
    <w:rsid w:val="00BA03D5"/>
    <w:rsid w:val="00BA1D02"/>
    <w:rsid w:val="00BA40A3"/>
    <w:rsid w:val="00BA78EE"/>
    <w:rsid w:val="00BB0528"/>
    <w:rsid w:val="00BB11C7"/>
    <w:rsid w:val="00BB3405"/>
    <w:rsid w:val="00BB4645"/>
    <w:rsid w:val="00BB4E63"/>
    <w:rsid w:val="00BB759D"/>
    <w:rsid w:val="00BB7FD4"/>
    <w:rsid w:val="00BC28B7"/>
    <w:rsid w:val="00BC6E4F"/>
    <w:rsid w:val="00BC70D5"/>
    <w:rsid w:val="00BD0E2B"/>
    <w:rsid w:val="00BD15E1"/>
    <w:rsid w:val="00BD4107"/>
    <w:rsid w:val="00BD445D"/>
    <w:rsid w:val="00BD6A55"/>
    <w:rsid w:val="00BD779B"/>
    <w:rsid w:val="00BE228C"/>
    <w:rsid w:val="00BE3BC4"/>
    <w:rsid w:val="00BE4C96"/>
    <w:rsid w:val="00BE7B21"/>
    <w:rsid w:val="00BF0841"/>
    <w:rsid w:val="00BF2FFC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2AF"/>
    <w:rsid w:val="00C12445"/>
    <w:rsid w:val="00C13003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B4D"/>
    <w:rsid w:val="00C50D85"/>
    <w:rsid w:val="00C51030"/>
    <w:rsid w:val="00C527B0"/>
    <w:rsid w:val="00C569D5"/>
    <w:rsid w:val="00C56A49"/>
    <w:rsid w:val="00C605DB"/>
    <w:rsid w:val="00C66518"/>
    <w:rsid w:val="00C70D3B"/>
    <w:rsid w:val="00C750B1"/>
    <w:rsid w:val="00C752F7"/>
    <w:rsid w:val="00C75B80"/>
    <w:rsid w:val="00C75DD2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326"/>
    <w:rsid w:val="00CB6F4E"/>
    <w:rsid w:val="00CB7215"/>
    <w:rsid w:val="00CB7442"/>
    <w:rsid w:val="00CB771F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2600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29C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23C03"/>
    <w:rsid w:val="00D32B1A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62942"/>
    <w:rsid w:val="00D62E15"/>
    <w:rsid w:val="00D63619"/>
    <w:rsid w:val="00D647D3"/>
    <w:rsid w:val="00D64D07"/>
    <w:rsid w:val="00D65828"/>
    <w:rsid w:val="00D702FD"/>
    <w:rsid w:val="00D703A8"/>
    <w:rsid w:val="00D70932"/>
    <w:rsid w:val="00D70AB5"/>
    <w:rsid w:val="00D70E4F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136"/>
    <w:rsid w:val="00D874BA"/>
    <w:rsid w:val="00D87BED"/>
    <w:rsid w:val="00D90CBD"/>
    <w:rsid w:val="00D9179D"/>
    <w:rsid w:val="00D92599"/>
    <w:rsid w:val="00D93B6A"/>
    <w:rsid w:val="00D9531E"/>
    <w:rsid w:val="00DA2693"/>
    <w:rsid w:val="00DA54C7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B60F7"/>
    <w:rsid w:val="00DC1285"/>
    <w:rsid w:val="00DC262C"/>
    <w:rsid w:val="00DC2700"/>
    <w:rsid w:val="00DC3966"/>
    <w:rsid w:val="00DC452B"/>
    <w:rsid w:val="00DC4B3B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E611B"/>
    <w:rsid w:val="00DF02C2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4469"/>
    <w:rsid w:val="00E14643"/>
    <w:rsid w:val="00E14A22"/>
    <w:rsid w:val="00E23200"/>
    <w:rsid w:val="00E24BC3"/>
    <w:rsid w:val="00E26E07"/>
    <w:rsid w:val="00E275EB"/>
    <w:rsid w:val="00E328B5"/>
    <w:rsid w:val="00E34D8D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5FF"/>
    <w:rsid w:val="00E84854"/>
    <w:rsid w:val="00E857A6"/>
    <w:rsid w:val="00E90706"/>
    <w:rsid w:val="00E91235"/>
    <w:rsid w:val="00E92EB1"/>
    <w:rsid w:val="00E93435"/>
    <w:rsid w:val="00E95BF0"/>
    <w:rsid w:val="00E95E32"/>
    <w:rsid w:val="00E973EE"/>
    <w:rsid w:val="00E97DE4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0C86"/>
    <w:rsid w:val="00ED11B4"/>
    <w:rsid w:val="00ED2057"/>
    <w:rsid w:val="00ED2A1A"/>
    <w:rsid w:val="00ED331B"/>
    <w:rsid w:val="00ED3A75"/>
    <w:rsid w:val="00ED3DD5"/>
    <w:rsid w:val="00ED440A"/>
    <w:rsid w:val="00ED5199"/>
    <w:rsid w:val="00ED75AE"/>
    <w:rsid w:val="00EE098C"/>
    <w:rsid w:val="00EE09DD"/>
    <w:rsid w:val="00EE29EB"/>
    <w:rsid w:val="00EE2D3D"/>
    <w:rsid w:val="00EE63D7"/>
    <w:rsid w:val="00EE75F9"/>
    <w:rsid w:val="00EE7D33"/>
    <w:rsid w:val="00EF0527"/>
    <w:rsid w:val="00EF0F97"/>
    <w:rsid w:val="00EF2A3D"/>
    <w:rsid w:val="00EF2C55"/>
    <w:rsid w:val="00EF4D92"/>
    <w:rsid w:val="00F027C7"/>
    <w:rsid w:val="00F02940"/>
    <w:rsid w:val="00F11913"/>
    <w:rsid w:val="00F12B22"/>
    <w:rsid w:val="00F14DAF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C94"/>
    <w:rsid w:val="00F32E1B"/>
    <w:rsid w:val="00F3767C"/>
    <w:rsid w:val="00F3793D"/>
    <w:rsid w:val="00F401CA"/>
    <w:rsid w:val="00F41009"/>
    <w:rsid w:val="00F41CB1"/>
    <w:rsid w:val="00F42103"/>
    <w:rsid w:val="00F43E7F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8DB"/>
    <w:rsid w:val="00F63926"/>
    <w:rsid w:val="00F63C48"/>
    <w:rsid w:val="00F63F54"/>
    <w:rsid w:val="00F64E68"/>
    <w:rsid w:val="00F65BB6"/>
    <w:rsid w:val="00F66CFC"/>
    <w:rsid w:val="00F67751"/>
    <w:rsid w:val="00F73213"/>
    <w:rsid w:val="00F73D4C"/>
    <w:rsid w:val="00F75026"/>
    <w:rsid w:val="00F764C8"/>
    <w:rsid w:val="00F77A65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6F4A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613"/>
    <w:rsid w:val="00FE6F93"/>
    <w:rsid w:val="00FE7063"/>
    <w:rsid w:val="00FE735E"/>
    <w:rsid w:val="00FE7C33"/>
    <w:rsid w:val="00FF1F48"/>
    <w:rsid w:val="00FF3341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9F40A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9F40A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9F40A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9F40A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9F40A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9F40A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847EB9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847EB9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847EB9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847EB9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847EB9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847EB9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847EB9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jgrafanan\Downloads\Stockpile%20and%20Standby%20Funds%20(SSF)%20Monitoring%20as%20of%2027%20October%202021,%204PM.xlsx" TargetMode="External"/><Relationship Id="rId13" Type="http://schemas.openxmlformats.org/officeDocument/2006/relationships/hyperlink" Target="file:///C:\Users\mjgrafanan\Downloads\Stockpile%20and%20Standby%20Funds%20(SSF)%20Monitoring%20as%20of%2027%20October%202021,%204PM.xlsx" TargetMode="External"/><Relationship Id="rId18" Type="http://schemas.openxmlformats.org/officeDocument/2006/relationships/hyperlink" Target="file:///C:\Users\mjgrafanan\Downloads\Stockpile%20and%20Standby%20Funds%20(SSF)%20Monitoring%20as%20of%2027%20October%202021,%204PM.xls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mjgrafanan\Downloads\Stockpile%20and%20Standby%20Funds%20(SSF)%20Monitoring%20as%20of%2027%20October%202021,%204PM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mjgrafanan\Downloads\Stockpile%20and%20Standby%20Funds%20(SSF)%20Monitoring%20as%20of%2027%20October%202021,%204PM.xlsx" TargetMode="External"/><Relationship Id="rId17" Type="http://schemas.openxmlformats.org/officeDocument/2006/relationships/hyperlink" Target="file:///C:\Users\mjgrafanan\Downloads\Stockpile%20and%20Standby%20Funds%20(SSF)%20Monitoring%20as%20of%2027%20October%202021,%204PM.xlsx" TargetMode="External"/><Relationship Id="rId25" Type="http://schemas.openxmlformats.org/officeDocument/2006/relationships/hyperlink" Target="file:///C:\Users\mjgrafanan\Downloads\Stockpile%20and%20Standby%20Funds%20(SSF)%20Monitoring%20as%20of%2027%20October%202021,%204PM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jgrafanan\Downloads\Stockpile%20and%20Standby%20Funds%20(SSF)%20Monitoring%20as%20of%2027%20October%202021,%204PM.xlsx" TargetMode="External"/><Relationship Id="rId20" Type="http://schemas.openxmlformats.org/officeDocument/2006/relationships/hyperlink" Target="file:///C:\Users\mjgrafanan\Downloads\Stockpile%20and%20Standby%20Funds%20(SSF)%20Monitoring%20as%20of%2027%20October%202021,%204PM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jgrafanan\Downloads\Stockpile%20and%20Standby%20Funds%20(SSF)%20Monitoring%20as%20of%2027%20October%202021,%204PM.xlsx" TargetMode="External"/><Relationship Id="rId24" Type="http://schemas.openxmlformats.org/officeDocument/2006/relationships/hyperlink" Target="file:///C:\Users\mjgrafanan\Downloads\Stockpile%20and%20Standby%20Funds%20(SSF)%20Monitoring%20as%20of%2027%20October%202021,%204PM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jgrafanan\Downloads\Stockpile%20and%20Standby%20Funds%20(SSF)%20Monitoring%20as%20of%2027%20October%202021,%204PM.xlsx" TargetMode="External"/><Relationship Id="rId23" Type="http://schemas.openxmlformats.org/officeDocument/2006/relationships/hyperlink" Target="file:///C:\Users\mjgrafanan\Downloads\Stockpile%20and%20Standby%20Funds%20(SSF)%20Monitoring%20as%20of%2027%20October%202021,%204PM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mjgrafanan\Downloads\Stockpile%20and%20Standby%20Funds%20(SSF)%20Monitoring%20as%20of%2027%20October%202021,%204PM.xlsx" TargetMode="External"/><Relationship Id="rId19" Type="http://schemas.openxmlformats.org/officeDocument/2006/relationships/hyperlink" Target="file:///C:\Users\mjgrafanan\Downloads\Stockpile%20and%20Standby%20Funds%20(SSF)%20Monitoring%20as%20of%2027%20October%202021,%204PM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jgrafanan\Downloads\Stockpile%20and%20Standby%20Funds%20(SSF)%20Monitoring%20as%20of%2027%20October%202021,%204PM.xlsx" TargetMode="External"/><Relationship Id="rId14" Type="http://schemas.openxmlformats.org/officeDocument/2006/relationships/hyperlink" Target="file:///C:\Users\mjgrafanan\Downloads\Stockpile%20and%20Standby%20Funds%20(SSF)%20Monitoring%20as%20of%2027%20October%202021,%204PM.xlsx" TargetMode="External"/><Relationship Id="rId22" Type="http://schemas.openxmlformats.org/officeDocument/2006/relationships/hyperlink" Target="file:///C:\Users\mjgrafanan\Downloads\Stockpile%20and%20Standby%20Funds%20(SSF)%20Monitoring%20as%20of%2027%20October%202021,%204PM.xlsx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B000-992F-45A3-AC34-7609C274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13</cp:revision>
  <cp:lastPrinted>2021-07-05T02:11:00Z</cp:lastPrinted>
  <dcterms:created xsi:type="dcterms:W3CDTF">2021-10-28T08:34:00Z</dcterms:created>
  <dcterms:modified xsi:type="dcterms:W3CDTF">2021-10-29T08:20:00Z</dcterms:modified>
</cp:coreProperties>
</file>