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0CD3" w14:textId="3246C440" w:rsidR="007965E7" w:rsidRPr="00E67F2F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67F2F">
        <w:rPr>
          <w:rFonts w:ascii="Arial" w:eastAsia="Arial" w:hAnsi="Arial" w:cs="Arial"/>
          <w:b/>
          <w:sz w:val="32"/>
          <w:szCs w:val="24"/>
        </w:rPr>
        <w:t>DSWD DROMIC Pre</w:t>
      </w:r>
      <w:r w:rsidR="004419DD">
        <w:rPr>
          <w:rFonts w:ascii="Arial" w:eastAsia="Arial" w:hAnsi="Arial" w:cs="Arial"/>
          <w:b/>
          <w:sz w:val="32"/>
          <w:szCs w:val="24"/>
        </w:rPr>
        <w:t>paredness for Response Report #2</w:t>
      </w:r>
    </w:p>
    <w:p w14:paraId="4397CB0D" w14:textId="22A1FFBB" w:rsidR="007965E7" w:rsidRPr="00E67F2F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E67F2F">
        <w:rPr>
          <w:rFonts w:ascii="Arial" w:eastAsia="Arial" w:hAnsi="Arial" w:cs="Arial"/>
          <w:b/>
          <w:sz w:val="32"/>
          <w:szCs w:val="24"/>
        </w:rPr>
        <w:t xml:space="preserve">on </w:t>
      </w:r>
      <w:r>
        <w:rPr>
          <w:rFonts w:ascii="Arial" w:eastAsia="Arial" w:hAnsi="Arial" w:cs="Arial"/>
          <w:b/>
          <w:sz w:val="32"/>
          <w:szCs w:val="24"/>
        </w:rPr>
        <w:t xml:space="preserve">the Observance of </w:t>
      </w:r>
      <w:r w:rsidR="001F0FAC">
        <w:rPr>
          <w:rFonts w:ascii="Arial" w:eastAsia="Arial" w:hAnsi="Arial" w:cs="Arial"/>
          <w:b/>
          <w:sz w:val="32"/>
          <w:szCs w:val="24"/>
        </w:rPr>
        <w:t>“UNDAS”</w:t>
      </w:r>
      <w:r>
        <w:rPr>
          <w:rFonts w:ascii="Arial" w:eastAsia="Arial" w:hAnsi="Arial" w:cs="Arial"/>
          <w:b/>
          <w:sz w:val="32"/>
          <w:szCs w:val="24"/>
        </w:rPr>
        <w:t xml:space="preserve"> 2021</w:t>
      </w:r>
    </w:p>
    <w:p w14:paraId="315587BE" w14:textId="3DA3A635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 xml:space="preserve">as of </w:t>
      </w:r>
      <w:r w:rsidR="004419DD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October 2021</w:t>
      </w:r>
      <w:r w:rsidRPr="00CE7C6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3B2C3975" w14:textId="3B19CD27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7E0260F" w14:textId="12E6B1A6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DBDAB7" w14:textId="77777777" w:rsidR="005A5962" w:rsidRPr="001E5CF7" w:rsidRDefault="005A5962" w:rsidP="007809A8">
      <w:pPr>
        <w:pStyle w:val="NoSpacing"/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8A8A9AD" w14:textId="12CBB78C" w:rsidR="00402318" w:rsidRDefault="001F0FAC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(also known as Todos los Santos, Araw ng mga Patay, or All Saints' Day)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is a holiday honoring the dead and is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widely celebrated in the Philippines. Filipino families traditionally visit cemeteries on November 1 or 2, to hold gatherings around the graves of their departed loved ones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to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lay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out flowers, 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candles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and offer prayers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.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The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occasion is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often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treated as a reunion or banquet, with families bringing food and drink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>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and camping out all day or even overnight. It is an official, state-recognized holiday, so people get leave from school or work on these days.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This occasion usually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leads to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the 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>increased volume of people on the roads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, cemeteries, 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>sacred grounds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, and other related areas around the country.</w:t>
      </w:r>
    </w:p>
    <w:p w14:paraId="766F2696" w14:textId="0005CDA1" w:rsidR="00EE2D3D" w:rsidRDefault="00EE2D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79AE46F7" w14:textId="2A371763" w:rsidR="00EE2D3D" w:rsidRDefault="001F0FAC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EE2D3D">
        <w:rPr>
          <w:rFonts w:ascii="Arial" w:eastAsia="Calibri" w:hAnsi="Arial" w:cs="Arial"/>
          <w:bCs/>
          <w:sz w:val="24"/>
          <w:szCs w:val="24"/>
          <w:lang w:val="en-PH"/>
        </w:rPr>
        <w:t xml:space="preserve"> is traditionally celebrated on the first and second day of November. This year, November 1 (All Saint’s Day) and November 2 (All Souls’ Day) will fall on Monday and Tuesday respectively.</w:t>
      </w:r>
    </w:p>
    <w:p w14:paraId="32D4CBBE" w14:textId="25D03FDF" w:rsidR="0051543D" w:rsidRDefault="005154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66849B9A" w14:textId="7EE2D011" w:rsidR="00CD2600" w:rsidRDefault="00EE2D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The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usual observance of </w:t>
      </w:r>
      <w:r w:rsidR="001F0FA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has changed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during the </w:t>
      </w:r>
      <w:r w:rsidR="004E06B3">
        <w:rPr>
          <w:rFonts w:ascii="Arial" w:eastAsia="Calibri" w:hAnsi="Arial" w:cs="Arial"/>
          <w:bCs/>
          <w:sz w:val="24"/>
          <w:szCs w:val="24"/>
          <w:lang w:val="en-PH"/>
        </w:rPr>
        <w:t xml:space="preserve">COVID-19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pandemic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in accordance to the public protocols and guidelines provided in the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Omnibus Guidelines on the Implementation of Community Quarantine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. This was reiterated by Presidential Spokersperson Harry Roque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during a press briefing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on 25 October 2021 reminding the public that the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protocols and guidelines which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were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adopted last year will still be followed for </w:t>
      </w:r>
      <w:r w:rsidR="001F0FA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2021.</w:t>
      </w:r>
    </w:p>
    <w:p w14:paraId="75050F4F" w14:textId="77777777" w:rsidR="007809A8" w:rsidRDefault="007809A8" w:rsidP="007965E7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E44DD34" w14:textId="40F7EF38" w:rsidR="003B27F0" w:rsidRPr="003B27F0" w:rsidRDefault="003C1142" w:rsidP="003B27F0">
      <w:pPr>
        <w:pStyle w:val="NoSpacing1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809A8" w:rsidRPr="007809A8">
        <w:rPr>
          <w:rFonts w:ascii="Arial" w:hAnsi="Arial" w:cs="Arial"/>
          <w:bCs/>
          <w:i/>
          <w:color w:val="0070C0"/>
          <w:sz w:val="16"/>
          <w:szCs w:val="24"/>
        </w:rPr>
        <w:t>Wikipilipinas.org</w:t>
      </w:r>
      <w:r w:rsidR="007809A8" w:rsidRPr="007809A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CD2600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and </w:t>
      </w:r>
      <w:r w:rsidR="003B27F0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PCOO</w:t>
      </w:r>
    </w:p>
    <w:p w14:paraId="1083C3F7" w14:textId="10430341" w:rsidR="00D17629" w:rsidRDefault="00D17629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20103881" w14:textId="0EDE4D9A" w:rsidR="007809A8" w:rsidRDefault="007809A8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3E27DBDE" w14:textId="427D157A" w:rsidR="007809A8" w:rsidRDefault="007809A8" w:rsidP="007809A8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7809A8"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53ADC9FA" w14:textId="77777777" w:rsidR="007809A8" w:rsidRDefault="007809A8" w:rsidP="007809A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D53168" w14:textId="2AB3D959" w:rsidR="007809A8" w:rsidRPr="008F25FF" w:rsidRDefault="007809A8" w:rsidP="007809A8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F25FF">
        <w:rPr>
          <w:rFonts w:ascii="Arial" w:eastAsia="Arial" w:hAnsi="Arial" w:cs="Arial"/>
          <w:sz w:val="24"/>
          <w:szCs w:val="24"/>
        </w:rPr>
        <w:t xml:space="preserve">The DSWD Central Office (CO), FOs, and National Resource Operations Center (NROC) have stockpiles and standby funds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6A30">
        <w:rPr>
          <w:rFonts w:ascii="Arial" w:eastAsia="Arial" w:hAnsi="Arial" w:cs="Arial"/>
          <w:b/>
          <w:color w:val="0070C0"/>
          <w:sz w:val="24"/>
          <w:szCs w:val="24"/>
        </w:rPr>
        <w:t>1,819,353,097.79</w:t>
      </w:r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7BD54981" w14:textId="77777777" w:rsidR="007809A8" w:rsidRPr="008F25FF" w:rsidRDefault="007809A8" w:rsidP="007809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71DB31" w14:textId="77777777" w:rsidR="007809A8" w:rsidRPr="008F25FF" w:rsidRDefault="007809A8" w:rsidP="007809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8F25FF">
        <w:rPr>
          <w:rFonts w:ascii="Arial" w:eastAsia="Arial" w:hAnsi="Arial" w:cs="Arial"/>
          <w:b/>
          <w:sz w:val="24"/>
          <w:szCs w:val="24"/>
        </w:rPr>
        <w:t>Standby Funds</w:t>
      </w:r>
    </w:p>
    <w:p w14:paraId="6AF2AE0E" w14:textId="77777777" w:rsidR="007809A8" w:rsidRPr="00556A30" w:rsidRDefault="007809A8" w:rsidP="007809A8">
      <w:pPr>
        <w:spacing w:after="0" w:line="240" w:lineRule="auto"/>
        <w:ind w:left="709"/>
        <w:jc w:val="both"/>
        <w:rPr>
          <w:rFonts w:ascii="Arial" w:eastAsia="Arial" w:hAnsi="Arial" w:cs="Arial"/>
          <w:sz w:val="28"/>
          <w:szCs w:val="28"/>
        </w:rPr>
      </w:pPr>
      <w:r w:rsidRPr="00556A30">
        <w:rPr>
          <w:rFonts w:ascii="Arial" w:eastAsia="Arial" w:hAnsi="Arial" w:cs="Arial"/>
          <w:sz w:val="24"/>
          <w:szCs w:val="24"/>
        </w:rPr>
        <w:t xml:space="preserve">A total of </w:t>
      </w:r>
      <w:r w:rsidRPr="00556A30">
        <w:rPr>
          <w:rFonts w:ascii="Arial" w:eastAsia="Arial" w:hAnsi="Arial" w:cs="Arial"/>
          <w:b/>
          <w:sz w:val="24"/>
          <w:szCs w:val="24"/>
        </w:rPr>
        <w:t>₱951,726,299.44 standby funds</w:t>
      </w:r>
      <w:r w:rsidRPr="00556A30">
        <w:rPr>
          <w:rFonts w:ascii="Arial" w:eastAsia="Arial" w:hAnsi="Arial" w:cs="Arial"/>
          <w:sz w:val="24"/>
          <w:szCs w:val="24"/>
        </w:rPr>
        <w:t xml:space="preserve"> in the CO and FOs. Of the said amount, </w:t>
      </w:r>
      <w:r w:rsidRPr="00556A30">
        <w:rPr>
          <w:rFonts w:ascii="Arial" w:eastAsia="Arial" w:hAnsi="Arial" w:cs="Arial"/>
          <w:b/>
          <w:sz w:val="24"/>
          <w:szCs w:val="24"/>
        </w:rPr>
        <w:t xml:space="preserve">₱895,185,870.95 </w:t>
      </w:r>
      <w:r w:rsidRPr="00556A30">
        <w:rPr>
          <w:rFonts w:ascii="Arial" w:eastAsia="Arial" w:hAnsi="Arial" w:cs="Arial"/>
          <w:sz w:val="24"/>
          <w:szCs w:val="24"/>
        </w:rPr>
        <w:t xml:space="preserve">is the available </w:t>
      </w:r>
      <w:r w:rsidRPr="00556A30">
        <w:rPr>
          <w:rFonts w:ascii="Arial" w:eastAsia="Arial" w:hAnsi="Arial" w:cs="Arial"/>
          <w:b/>
          <w:sz w:val="24"/>
          <w:szCs w:val="24"/>
        </w:rPr>
        <w:t>Quick Response Fund (QRF)</w:t>
      </w:r>
      <w:r w:rsidRPr="00556A30">
        <w:rPr>
          <w:rFonts w:ascii="Arial" w:eastAsia="Arial" w:hAnsi="Arial" w:cs="Arial"/>
          <w:sz w:val="24"/>
          <w:szCs w:val="24"/>
        </w:rPr>
        <w:t xml:space="preserve"> in the CO.</w:t>
      </w:r>
      <w:r w:rsidRPr="00556A30">
        <w:rPr>
          <w:rFonts w:ascii="Arial" w:eastAsia="Arial" w:hAnsi="Arial" w:cs="Arial"/>
          <w:sz w:val="28"/>
          <w:szCs w:val="28"/>
        </w:rPr>
        <w:tab/>
      </w:r>
    </w:p>
    <w:p w14:paraId="7B0C4552" w14:textId="77777777" w:rsidR="007809A8" w:rsidRPr="00556A30" w:rsidRDefault="007809A8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0CC4CE8" w14:textId="77777777" w:rsidR="007809A8" w:rsidRPr="008F25FF" w:rsidRDefault="007809A8" w:rsidP="007809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8F25FF">
        <w:rPr>
          <w:rFonts w:ascii="Arial" w:eastAsia="Arial" w:hAnsi="Arial" w:cs="Arial"/>
          <w:b/>
          <w:sz w:val="24"/>
          <w:szCs w:val="24"/>
        </w:rPr>
        <w:t>Stockpiles</w:t>
      </w:r>
    </w:p>
    <w:p w14:paraId="0BE208CB" w14:textId="65B62449" w:rsid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F25FF">
        <w:rPr>
          <w:rFonts w:ascii="Arial" w:eastAsia="Arial" w:hAnsi="Arial" w:cs="Arial"/>
          <w:sz w:val="24"/>
          <w:szCs w:val="24"/>
        </w:rPr>
        <w:t xml:space="preserve">A total of </w:t>
      </w:r>
      <w:r w:rsidR="00556A30">
        <w:rPr>
          <w:rFonts w:ascii="Arial" w:eastAsia="Arial" w:hAnsi="Arial" w:cs="Arial"/>
          <w:b/>
          <w:color w:val="0070C0"/>
          <w:sz w:val="24"/>
          <w:szCs w:val="24"/>
        </w:rPr>
        <w:t>364,591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 xml:space="preserve"> family food packs (FFPs</w:t>
      </w:r>
      <w:r w:rsidRPr="008F25FF">
        <w:rPr>
          <w:rFonts w:ascii="Arial" w:eastAsia="Arial" w:hAnsi="Arial" w:cs="Arial"/>
          <w:b/>
          <w:sz w:val="24"/>
          <w:szCs w:val="24"/>
        </w:rPr>
        <w:t>)</w:t>
      </w:r>
      <w:r w:rsidRPr="008F25FF">
        <w:rPr>
          <w:rFonts w:ascii="Arial" w:eastAsia="Arial" w:hAnsi="Arial" w:cs="Arial"/>
          <w:sz w:val="24"/>
          <w:szCs w:val="24"/>
        </w:rPr>
        <w:t xml:space="preserve">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6A30">
        <w:rPr>
          <w:rFonts w:ascii="Arial" w:eastAsia="Arial" w:hAnsi="Arial" w:cs="Arial"/>
          <w:b/>
          <w:color w:val="0070C0"/>
          <w:sz w:val="24"/>
          <w:szCs w:val="24"/>
        </w:rPr>
        <w:t>208,180,724.22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Pr="00B568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other</w:t>
      </w:r>
    </w:p>
    <w:p w14:paraId="64FF2E3C" w14:textId="476B7EEF" w:rsid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sz w:val="24"/>
          <w:szCs w:val="24"/>
        </w:rPr>
      </w:pP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food items</w:t>
      </w:r>
      <w:r w:rsidRPr="008F25FF">
        <w:rPr>
          <w:rFonts w:ascii="Arial" w:eastAsia="Arial" w:hAnsi="Arial" w:cs="Arial"/>
          <w:sz w:val="24"/>
          <w:szCs w:val="24"/>
        </w:rPr>
        <w:t xml:space="preserve">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6A30">
        <w:rPr>
          <w:rFonts w:ascii="Arial" w:eastAsia="Arial" w:hAnsi="Arial" w:cs="Arial"/>
          <w:b/>
          <w:color w:val="0070C0"/>
          <w:sz w:val="24"/>
          <w:szCs w:val="24"/>
        </w:rPr>
        <w:t>220,222,929.70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 xml:space="preserve">and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non-food items (FNIs)</w:t>
      </w:r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 xml:space="preserve">amounting to </w:t>
      </w:r>
    </w:p>
    <w:p w14:paraId="58AF2C55" w14:textId="7FCE4B17" w:rsidR="007809A8" w:rsidRP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sz w:val="24"/>
          <w:szCs w:val="24"/>
        </w:rPr>
      </w:pP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07745">
        <w:rPr>
          <w:rFonts w:ascii="Arial" w:eastAsia="Arial" w:hAnsi="Arial" w:cs="Arial"/>
          <w:b/>
          <w:color w:val="0070C0"/>
          <w:sz w:val="24"/>
          <w:szCs w:val="24"/>
        </w:rPr>
        <w:t>439,223,144.43</w:t>
      </w:r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>are available.</w:t>
      </w:r>
    </w:p>
    <w:p w14:paraId="5344A0BB" w14:textId="278BC4A0" w:rsidR="007809A8" w:rsidRDefault="007809A8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02EE44" w14:textId="6836E410" w:rsidR="004419DD" w:rsidRDefault="004419DD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D81F0B" w14:textId="15044640" w:rsidR="004419DD" w:rsidRDefault="004419DD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007B534" w14:textId="77777777" w:rsidR="004419DD" w:rsidRDefault="004419DD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AD6F656" w14:textId="77777777" w:rsidR="007809A8" w:rsidRDefault="007809A8" w:rsidP="007809A8">
      <w:pPr>
        <w:spacing w:after="0" w:line="240" w:lineRule="auto"/>
        <w:ind w:left="426" w:right="5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 xml:space="preserve">  Table 2. Available Stockpiles and Standby Funds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1398"/>
        <w:gridCol w:w="1301"/>
        <w:gridCol w:w="1141"/>
        <w:gridCol w:w="1301"/>
        <w:gridCol w:w="1303"/>
        <w:gridCol w:w="1306"/>
        <w:gridCol w:w="1424"/>
      </w:tblGrid>
      <w:tr w:rsidR="007809A8" w:rsidRPr="00CD062B" w14:paraId="35FDB7CD" w14:textId="77777777" w:rsidTr="0055062E">
        <w:trPr>
          <w:trHeight w:val="20"/>
          <w:tblHeader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3B4F0E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F8A6F1C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CD570FE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235CA8CD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34C482EF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1DFE91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7809A8" w:rsidRPr="00CD062B" w14:paraId="689AC31A" w14:textId="77777777" w:rsidTr="0055062E">
        <w:trPr>
          <w:trHeight w:val="20"/>
          <w:tblHeader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FFF9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DEC1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CB6702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DF93A11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5D359D7A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6CE74289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6D37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55062E" w:rsidRPr="00CD062B" w14:paraId="2721DC17" w14:textId="77777777" w:rsidTr="0055062E">
        <w:trPr>
          <w:trHeight w:val="2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143B9A7C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4DA238F3" w14:textId="590A169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951,726,299.44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636F9B11" w14:textId="575606A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363,209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4B9CBE61" w14:textId="28057793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208,180,724.22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57407BF5" w14:textId="4843C5EB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220,222,929.70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5FE05559" w14:textId="4C8B0A37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439,223,144.43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3C370E06" w14:textId="544C2DC8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1,819,353,097.79</w:t>
            </w:r>
          </w:p>
        </w:tc>
      </w:tr>
      <w:tr w:rsidR="0055062E" w:rsidRPr="00CD062B" w14:paraId="4F084B31" w14:textId="77777777" w:rsidTr="0055062E">
        <w:trPr>
          <w:trHeight w:val="20"/>
        </w:trPr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2503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sz w:val="18"/>
                <w:szCs w:val="18"/>
              </w:rPr>
              <w:t>Central Office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C8F2" w14:textId="19641BD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895,185,870.95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B21F" w14:textId="308D199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30AC" w14:textId="301B93D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EF0F" w14:textId="557D899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CB3F" w14:textId="4C15553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FD97" w14:textId="0F5B14A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895,185,870.95</w:t>
            </w:r>
          </w:p>
        </w:tc>
      </w:tr>
      <w:tr w:rsidR="00693FA7" w:rsidRPr="00CD062B" w14:paraId="4EA81F7B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7FA1" w14:textId="77777777" w:rsidR="00693FA7" w:rsidRPr="00CD062B" w:rsidRDefault="00693FA7" w:rsidP="00693FA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8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NRLMB - NROC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FB63" w14:textId="6A2718DB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CBC6" w14:textId="71284DDB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17,049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375C" w14:textId="52BFFEB1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9,194,166.00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8264" w14:textId="1567F2F5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36,830,583.52</w:t>
            </w: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F220" w14:textId="1CD10A8E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61,102,015.76</w:t>
            </w: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6727" w14:textId="42FFFD13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107,126,765.28 </w:t>
            </w:r>
          </w:p>
        </w:tc>
      </w:tr>
      <w:tr w:rsidR="00693FA7" w:rsidRPr="00CD062B" w14:paraId="35EA5216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8322" w14:textId="77777777" w:rsidR="00693FA7" w:rsidRPr="00CD062B" w:rsidRDefault="00693FA7" w:rsidP="00693FA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9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NRLMB - VDRC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73D7" w14:textId="40CD4524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B355" w14:textId="0B1816EA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3,002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8E82" w14:textId="7D901FFF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1,611,160.00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E7C5" w14:textId="6CAA7823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32,062,055.53</w:t>
            </w: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4289" w14:textId="3BF1BA6E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2,842,510.00</w:t>
            </w: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7709" w14:textId="1F9F7EBE" w:rsidR="00693FA7" w:rsidRPr="0055062E" w:rsidRDefault="00693FA7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36,515,725.53 </w:t>
            </w:r>
          </w:p>
        </w:tc>
      </w:tr>
      <w:tr w:rsidR="0055062E" w:rsidRPr="00CD062B" w14:paraId="7FCC2E8C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EA35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0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F9C0" w14:textId="1EDFA94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123,035.20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1663" w14:textId="2E5B90B6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B36D" w14:textId="20F580BB" w:rsidR="0055062E" w:rsidRPr="0055062E" w:rsidRDefault="0055062E" w:rsidP="00693FA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693FA7">
              <w:rPr>
                <w:rFonts w:ascii="Arial Narrow" w:hAnsi="Arial Narrow" w:cs="Arial"/>
                <w:color w:val="000000"/>
                <w:sz w:val="18"/>
                <w:szCs w:val="18"/>
              </w:rPr>
              <w:t>4,313,692.80</w:t>
            </w: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1FD0" w14:textId="1B1283F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15,282,170.00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1F6B" w14:textId="0D2BE63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12,838,159.52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0FD6" w14:textId="3FA01488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32,557,057.52</w:t>
            </w:r>
            <w:r w:rsidR="0055062E"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062E" w:rsidRPr="00CD062B" w14:paraId="24A653E1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BEB3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1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D05" w14:textId="311C541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4,959,298.68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8A69" w14:textId="442D4DE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21,589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9FB6" w14:textId="3FDA291B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13,872,720.40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BA1F" w14:textId="21EA753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3,831,966.40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0928" w14:textId="3E386C9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10,770,307.69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31D3" w14:textId="43B87E1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33,434,293.17 </w:t>
            </w:r>
          </w:p>
        </w:tc>
      </w:tr>
      <w:tr w:rsidR="0055062E" w:rsidRPr="00CD062B" w14:paraId="75BC01B8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AB9E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2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8DCF" w14:textId="07C96C2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2DFF" w14:textId="72F2991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19,911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436A" w14:textId="5A4BC53B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13,006,875.53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00B0" w14:textId="768D6AC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1,807,190.55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4F35" w14:textId="2B3C696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16,192,101.77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740D" w14:textId="01C0817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34,006,167.85 </w:t>
            </w:r>
          </w:p>
        </w:tc>
      </w:tr>
      <w:tr w:rsidR="0055062E" w:rsidRPr="00CD062B" w14:paraId="7502DDC8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D85E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3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CALABARZON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76F8" w14:textId="4EEAB78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0CB7" w14:textId="3751884D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14,277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B5CE" w14:textId="3DC6435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9,855,335.30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53E9" w14:textId="64C0C233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3,508,586.00</w:t>
            </w:r>
            <w:r w:rsidR="0055062E"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F4B4" w14:textId="52D9FEF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103,311,874.34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55D0" w14:textId="2F6A9294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121,640,095.64 </w:t>
            </w:r>
          </w:p>
        </w:tc>
      </w:tr>
      <w:tr w:rsidR="0055062E" w:rsidRPr="00CD062B" w14:paraId="136D18C2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3DF7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4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MIMAROPA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ED65" w14:textId="43990BD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0C2B" w14:textId="560530D4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22,787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843E" w14:textId="6B749F7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16,054,050.44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2853" w14:textId="59B3EB1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9,984,849.00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BDE8" w14:textId="2E5B435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16,853,391.10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719B" w14:textId="4A16F2F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47,892,290.54 </w:t>
            </w:r>
          </w:p>
        </w:tc>
      </w:tr>
      <w:tr w:rsidR="0055062E" w:rsidRPr="00CD062B" w14:paraId="313903D6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8EF6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5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4DF4" w14:textId="114631E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AA2" w14:textId="7CE79898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23,141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6F65" w14:textId="297E6EC9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11,515,310.58</w:t>
            </w:r>
            <w:r w:rsidR="0055062E"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47A9" w14:textId="3D1AAE3A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6,815,414.90</w:t>
            </w:r>
            <w:r w:rsidR="0055062E"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13A8" w14:textId="0257A4C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22,383,343.90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F835" w14:textId="1E334CE5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45,714,069.38</w:t>
            </w:r>
            <w:r w:rsidR="0055062E"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062E" w:rsidRPr="00CD062B" w14:paraId="6526A20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08DF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6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54F1" w14:textId="371620C0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5,000,646.42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53D4" w14:textId="475D2043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45,748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C149" w14:textId="78CEA7D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23,188,272.09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DC1F" w14:textId="1C21F11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11,917,271.42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597D" w14:textId="67FD3E1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14,835,173.29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1483" w14:textId="13238A8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54,941,363.22 </w:t>
            </w:r>
          </w:p>
        </w:tc>
      </w:tr>
      <w:tr w:rsidR="0055062E" w:rsidRPr="00CD062B" w14:paraId="5138680F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E355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7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EB19" w14:textId="09B4AAA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1943" w14:textId="1A4EFA5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46,637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10DC" w14:textId="29245D8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21,604,650.55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8298" w14:textId="18F4914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17,204,271.48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BD50" w14:textId="25854D9D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15,304,807.82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7376" w14:textId="364AB60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59,113,729.85 </w:t>
            </w:r>
          </w:p>
        </w:tc>
      </w:tr>
      <w:tr w:rsidR="0055062E" w:rsidRPr="00CD062B" w14:paraId="255EDF5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DA64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8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3174" w14:textId="62EE5303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4,215,000.00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042F" w14:textId="5910AE9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15,296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5F22" w14:textId="7287F85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7,699,583.28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6FF2" w14:textId="6BB8556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1,372,903.06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7386" w14:textId="6E5535C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20,530,262.37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C901" w14:textId="22F0D32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33,817,748.71 </w:t>
            </w:r>
          </w:p>
        </w:tc>
      </w:tr>
      <w:tr w:rsidR="0055062E" w:rsidRPr="00CD062B" w14:paraId="154A041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CEDF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9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IX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23EB" w14:textId="48AAE80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BF39" w14:textId="4AD9AF6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21,443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A0CE" w14:textId="05602C6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11,718,385.07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FA65" w14:textId="4C94180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1,083,599.04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BC65" w14:textId="1B5CA02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17,134,532.25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6861" w14:textId="2F37A1D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32,936,516.36 </w:t>
            </w:r>
          </w:p>
        </w:tc>
      </w:tr>
      <w:tr w:rsidR="0055062E" w:rsidRPr="00CD062B" w14:paraId="52964555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B330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0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0C6E" w14:textId="6FAE54B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5,238,559.92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C98D" w14:textId="3521709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44,025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0E26" w14:textId="5A6D898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29,691,899.76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9F3F" w14:textId="2E985DE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56,710,320.60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0CC0" w14:textId="30EAFD5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46,137,432.07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0BED" w14:textId="304C921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137,778,212.35 </w:t>
            </w:r>
          </w:p>
        </w:tc>
      </w:tr>
      <w:tr w:rsidR="0055062E" w:rsidRPr="00CD062B" w14:paraId="106D5F17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BD98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1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69C2" w14:textId="7F97E8A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DC6B" w14:textId="4B19928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12,311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BD66" w14:textId="35BBEC0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5,945,081.55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EBAA" w14:textId="2481A3C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2,175,143.00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AB1A" w14:textId="3ECA6FD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20,298,871.30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F631" w14:textId="6CC15FA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28,419,095.85 </w:t>
            </w:r>
          </w:p>
        </w:tc>
      </w:tr>
      <w:tr w:rsidR="0055062E" w:rsidRPr="00CD062B" w14:paraId="469587AA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AC0D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2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5F7D" w14:textId="5502784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3,000,969.85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2668" w14:textId="6A3B406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12,153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687A" w14:textId="3CE6E1E0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7,843,533.75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048A" w14:textId="3974974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9,097,531.30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CB1F" w14:textId="2A80F470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27,570,568.50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2574" w14:textId="345760B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47,512,603.40 </w:t>
            </w:r>
          </w:p>
        </w:tc>
      </w:tr>
      <w:tr w:rsidR="0055062E" w:rsidRPr="00CD062B" w14:paraId="081291DF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6B42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3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CARAGA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AF66" w14:textId="174BD8D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AF9A" w14:textId="5251861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9,994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6EBA" w14:textId="6FCB50ED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4,537,325.00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AFDD" w14:textId="0E7EC35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24,825.88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600B" w14:textId="07A8AC8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9,548,823.40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46AA" w14:textId="1997140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19,110,974.28 </w:t>
            </w:r>
          </w:p>
        </w:tc>
      </w:tr>
      <w:tr w:rsidR="0055062E" w:rsidRPr="00CD062B" w14:paraId="0B38D082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CEA2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4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NCR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06A7" w14:textId="46E7463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3,002,563.30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FA6D" w14:textId="66F13FE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3,234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058F" w14:textId="4BBCA87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1,982,652.12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03F" w14:textId="569605C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5,580,728.91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DCC" w14:textId="6D28D46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1,727,247.46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FDF0" w14:textId="58FBF8B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12,293,191.79 </w:t>
            </w:r>
          </w:p>
        </w:tc>
      </w:tr>
      <w:tr w:rsidR="0055062E" w:rsidRPr="00CD062B" w14:paraId="6BFCD60B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C96B" w14:textId="77777777" w:rsidR="0055062E" w:rsidRPr="00CD062B" w:rsidRDefault="00AF179A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5" w:anchor="RANGE!A1" w:history="1">
              <w:r w:rsidR="0055062E"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CAR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DE92" w14:textId="6A469FB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355.12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5291" w14:textId="016162D7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24,794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621C" w14:textId="6EB0C697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14,546,030.00</w:t>
            </w:r>
            <w:r w:rsidR="0055062E"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B96A" w14:textId="10098DD9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4,933,519.11</w:t>
            </w:r>
            <w:r w:rsidR="0055062E"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1144" w14:textId="09FA306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19,894,712.25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3DFC" w14:textId="35543B8A" w:rsidR="0055062E" w:rsidRPr="0055062E" w:rsidRDefault="00693FA7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39,321,626.12</w:t>
            </w:r>
            <w:r w:rsidR="0055062E"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81CDAD4" w14:textId="5302B980" w:rsidR="007809A8" w:rsidRPr="00CD6F18" w:rsidRDefault="007809A8" w:rsidP="00CD6F18">
      <w:pPr>
        <w:spacing w:after="0" w:line="240" w:lineRule="auto"/>
        <w:ind w:left="567" w:right="57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</w:t>
      </w:r>
      <w:r w:rsidR="00E14CEB">
        <w:rPr>
          <w:rFonts w:ascii="Arial" w:eastAsia="Arial" w:hAnsi="Arial" w:cs="Arial"/>
          <w:i/>
          <w:sz w:val="16"/>
          <w:szCs w:val="16"/>
        </w:rPr>
        <w:t>he Inventory Summary is as of 30</w:t>
      </w:r>
      <w:r>
        <w:rPr>
          <w:rFonts w:ascii="Arial" w:eastAsia="Arial" w:hAnsi="Arial" w:cs="Arial"/>
          <w:i/>
          <w:sz w:val="16"/>
          <w:szCs w:val="16"/>
        </w:rPr>
        <w:t xml:space="preserve"> October 2021, 4PM.</w:t>
      </w:r>
      <w:r w:rsidR="00CD6F18">
        <w:rPr>
          <w:rFonts w:ascii="Arial" w:eastAsia="Arial" w:hAnsi="Arial" w:cs="Arial"/>
          <w:i/>
          <w:sz w:val="16"/>
          <w:szCs w:val="16"/>
        </w:rPr>
        <w:t xml:space="preserve"> </w:t>
      </w:r>
      <w:r w:rsidRPr="00305E69">
        <w:rPr>
          <w:rFonts w:ascii="Arial" w:eastAsia="Arial" w:hAnsi="Arial" w:cs="Arial"/>
          <w:i/>
          <w:sz w:val="16"/>
          <w:szCs w:val="16"/>
        </w:rPr>
        <w:t>Replen</w:t>
      </w:r>
      <w:r w:rsidR="00AA6A1F">
        <w:rPr>
          <w:rFonts w:ascii="Arial" w:eastAsia="Arial" w:hAnsi="Arial" w:cs="Arial"/>
          <w:i/>
          <w:sz w:val="16"/>
          <w:szCs w:val="16"/>
        </w:rPr>
        <w:t>ishment of standby funds for FO</w:t>
      </w:r>
      <w:r w:rsidRPr="00305E69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XI </w:t>
      </w:r>
      <w:r w:rsidR="00E14CEB">
        <w:rPr>
          <w:rFonts w:ascii="Arial" w:eastAsia="Arial" w:hAnsi="Arial" w:cs="Arial"/>
          <w:i/>
          <w:sz w:val="16"/>
          <w:szCs w:val="16"/>
        </w:rPr>
        <w:t>is</w:t>
      </w:r>
      <w:r w:rsidRPr="00305E69">
        <w:rPr>
          <w:rFonts w:ascii="Arial" w:eastAsia="Arial" w:hAnsi="Arial" w:cs="Arial"/>
          <w:i/>
          <w:sz w:val="16"/>
          <w:szCs w:val="16"/>
        </w:rPr>
        <w:t xml:space="preserve"> being processed.</w:t>
      </w:r>
    </w:p>
    <w:p w14:paraId="58E87B66" w14:textId="77777777" w:rsidR="00CD6F18" w:rsidRDefault="00CD6F18" w:rsidP="007809A8">
      <w:pPr>
        <w:spacing w:after="0" w:line="240" w:lineRule="auto"/>
        <w:ind w:left="648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603CDC8" w14:textId="50AB5BAA" w:rsidR="007809A8" w:rsidRDefault="007809A8" w:rsidP="007809A8">
      <w:pPr>
        <w:spacing w:after="0" w:line="240" w:lineRule="auto"/>
        <w:ind w:left="648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i/>
          <w:color w:val="0070C0"/>
          <w:sz w:val="16"/>
          <w:szCs w:val="16"/>
        </w:rPr>
        <w:t>Sources: DRMB and NRLMB</w:t>
      </w:r>
    </w:p>
    <w:p w14:paraId="5FEA1D41" w14:textId="77777777" w:rsidR="007809A8" w:rsidRDefault="007809A8" w:rsidP="007809A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650D34" w14:textId="5A9F161A" w:rsidR="007809A8" w:rsidRDefault="004E06B3" w:rsidP="007809A8">
      <w:pPr>
        <w:pStyle w:val="NoSpacing"/>
        <w:numPr>
          <w:ilvl w:val="0"/>
          <w:numId w:val="28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14:paraId="75B11B35" w14:textId="77777777" w:rsidR="007809A8" w:rsidRDefault="007809A8" w:rsidP="007809A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BBDC5D" w14:textId="145DA597" w:rsidR="007809A8" w:rsidRDefault="007809A8" w:rsidP="007809A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DSWD-DRMB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809A8" w:rsidRPr="006B4BAB" w14:paraId="42AEBE37" w14:textId="77777777" w:rsidTr="00B00AC0">
        <w:trPr>
          <w:tblHeader/>
        </w:trPr>
        <w:tc>
          <w:tcPr>
            <w:tcW w:w="2025" w:type="dxa"/>
          </w:tcPr>
          <w:p w14:paraId="5501AE48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C87D979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809A8" w:rsidRPr="006B4BAB" w14:paraId="2CECFD4D" w14:textId="77777777" w:rsidTr="00B00AC0">
        <w:trPr>
          <w:tblHeader/>
        </w:trPr>
        <w:tc>
          <w:tcPr>
            <w:tcW w:w="2025" w:type="dxa"/>
          </w:tcPr>
          <w:p w14:paraId="44C413DB" w14:textId="184E5ED5" w:rsidR="007809A8" w:rsidRPr="004419DD" w:rsidRDefault="004419DD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30</w:t>
            </w:r>
            <w:r w:rsidR="007809A8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313A842A" w14:textId="065F75EF" w:rsidR="007809A8" w:rsidRPr="004419DD" w:rsidRDefault="007809A8" w:rsidP="007809A8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the DSWD-Field Offices for significant updates on disaster preparedness for response with regards to the observation of </w:t>
            </w:r>
            <w:r w:rsidR="001F0FAC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“UNDAS”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2021.</w:t>
            </w:r>
          </w:p>
        </w:tc>
      </w:tr>
    </w:tbl>
    <w:p w14:paraId="16382CBA" w14:textId="75CA8025" w:rsidR="003B27F0" w:rsidRDefault="003B27F0" w:rsidP="007809A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2B2DF49" w14:textId="7D9E3006" w:rsidR="004419DD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419DD" w:rsidRPr="006B4BAB" w14:paraId="754D38BF" w14:textId="77777777" w:rsidTr="00AB2109">
        <w:trPr>
          <w:tblHeader/>
        </w:trPr>
        <w:tc>
          <w:tcPr>
            <w:tcW w:w="2025" w:type="dxa"/>
          </w:tcPr>
          <w:p w14:paraId="532CF751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F18CBBE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419DD" w:rsidRPr="006B4BAB" w14:paraId="2D8379EE" w14:textId="77777777" w:rsidTr="00AB2109">
        <w:trPr>
          <w:tblHeader/>
        </w:trPr>
        <w:tc>
          <w:tcPr>
            <w:tcW w:w="2025" w:type="dxa"/>
          </w:tcPr>
          <w:p w14:paraId="2E86F9FD" w14:textId="092AEC35" w:rsidR="004419DD" w:rsidRPr="004419DD" w:rsidRDefault="004419DD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29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October 2021</w:t>
            </w:r>
          </w:p>
        </w:tc>
        <w:tc>
          <w:tcPr>
            <w:tcW w:w="6907" w:type="dxa"/>
          </w:tcPr>
          <w:p w14:paraId="03E7D6EE" w14:textId="77777777" w:rsid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DSWD-FO I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is in close coordination with the Regional Disaster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Risk Reduction and Management Council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1. L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ikewise,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Provincial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Operations Offices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are in close coordination 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>with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the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different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Provincial/City/M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unicipal Disaster Risk Reduction and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Management Councils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and Provincial/City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>/M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unicipality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Social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W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elfare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and Develo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pment Offices 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to monitor and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gather reports 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and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updates regarding any eventualities that 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>m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ay occur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>.</w:t>
            </w:r>
          </w:p>
          <w:p w14:paraId="781089CD" w14:textId="0A9A9422" w:rsidR="004419DD" w:rsidRP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The Disaster Response Management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Division (DRMD) staff and the S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ocial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Welfare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and Development Team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Leaders are on standby.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Likewise, the Field Office ensures availability and readiness of resources.</w:t>
            </w:r>
          </w:p>
        </w:tc>
      </w:tr>
    </w:tbl>
    <w:p w14:paraId="75A998D9" w14:textId="16A2E6E2" w:rsidR="004419DD" w:rsidRDefault="004419DD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48122F" w14:textId="37F36C8B" w:rsidR="004419DD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419DD" w:rsidRPr="006B4BAB" w14:paraId="7216523B" w14:textId="77777777" w:rsidTr="004419DD">
        <w:tc>
          <w:tcPr>
            <w:tcW w:w="2025" w:type="dxa"/>
          </w:tcPr>
          <w:p w14:paraId="71EE4FBE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E760E7A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419DD" w:rsidRPr="006B4BAB" w14:paraId="05E23F84" w14:textId="77777777" w:rsidTr="004419DD">
        <w:tc>
          <w:tcPr>
            <w:tcW w:w="2025" w:type="dxa"/>
          </w:tcPr>
          <w:p w14:paraId="5D5DA18F" w14:textId="4E7E4AE4" w:rsidR="004419DD" w:rsidRPr="004419DD" w:rsidRDefault="004419DD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29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October 2021</w:t>
            </w:r>
          </w:p>
        </w:tc>
        <w:tc>
          <w:tcPr>
            <w:tcW w:w="6907" w:type="dxa"/>
          </w:tcPr>
          <w:p w14:paraId="12EBB26F" w14:textId="77777777" w:rsid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DSWD FO-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>II e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nsured that the Regional DMRT, SWADTs, P/C/MATs are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ON-CALL/STANDBY status and advised to coordinate with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the Local Disaster Risk Reduction and Management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Councils (LDRRMCs)/ Local Social Welfare and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Development Officers (LSWDOs) if there are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lastRenderedPageBreak/>
              <w:t>concerns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needed to be addressed by the Field Office (FO) during the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observance of UNDAS 2021. </w:t>
            </w:r>
          </w:p>
          <w:p w14:paraId="1E0A22B5" w14:textId="179D91B6" w:rsidR="004419DD" w:rsidRP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DSWD FO-II ensured the availability of Food and Non-Food Items (FNIs);</w:t>
            </w:r>
          </w:p>
        </w:tc>
      </w:tr>
    </w:tbl>
    <w:p w14:paraId="028020A1" w14:textId="2EB85065" w:rsidR="004419DD" w:rsidRDefault="004419DD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CAC805" w14:textId="77777777" w:rsidR="004419DD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419DD" w:rsidRPr="006B4BAB" w14:paraId="498C0CDE" w14:textId="77777777" w:rsidTr="00AB2109">
        <w:trPr>
          <w:tblHeader/>
        </w:trPr>
        <w:tc>
          <w:tcPr>
            <w:tcW w:w="2025" w:type="dxa"/>
          </w:tcPr>
          <w:p w14:paraId="1F683751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C1EED8C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419DD" w:rsidRPr="006B4BAB" w14:paraId="18BEAC9E" w14:textId="77777777" w:rsidTr="00AB2109">
        <w:trPr>
          <w:tblHeader/>
        </w:trPr>
        <w:tc>
          <w:tcPr>
            <w:tcW w:w="2025" w:type="dxa"/>
          </w:tcPr>
          <w:p w14:paraId="1CD687FA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29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6D2B47CD" w14:textId="77777777" w:rsidR="004419DD" w:rsidRDefault="004419DD" w:rsidP="00AB210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FO-CALABARZON attended meetings with different agencies on the response cluster relative to the adherence of health and safety protocols in the observance of “UNDAS” 2021.</w:t>
            </w:r>
          </w:p>
          <w:p w14:paraId="306E7657" w14:textId="77777777" w:rsidR="004419DD" w:rsidRPr="001F0FAC" w:rsidRDefault="004419DD" w:rsidP="00AB210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FO-CALABARZON Emergency Operations Center remains on heightened alert status to monitor the situation relative to the observance of “UNDAS”.</w:t>
            </w:r>
          </w:p>
        </w:tc>
      </w:tr>
    </w:tbl>
    <w:p w14:paraId="2CB8FCBF" w14:textId="05BFF567" w:rsidR="004419DD" w:rsidRDefault="004419DD" w:rsidP="004419D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5D86C3" w14:textId="1235821B" w:rsidR="003B27F0" w:rsidRDefault="003B27F0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4419DD"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B27F0" w:rsidRPr="006B4BAB" w14:paraId="41D1A06B" w14:textId="77777777" w:rsidTr="00B00AC0">
        <w:trPr>
          <w:tblHeader/>
        </w:trPr>
        <w:tc>
          <w:tcPr>
            <w:tcW w:w="2025" w:type="dxa"/>
          </w:tcPr>
          <w:p w14:paraId="2407C6E6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9663A26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B27F0" w:rsidRPr="006B4BAB" w14:paraId="0774CF54" w14:textId="77777777" w:rsidTr="00B00AC0">
        <w:trPr>
          <w:tblHeader/>
        </w:trPr>
        <w:tc>
          <w:tcPr>
            <w:tcW w:w="2025" w:type="dxa"/>
          </w:tcPr>
          <w:p w14:paraId="2203EFD5" w14:textId="5B5C08DE" w:rsidR="003B27F0" w:rsidRPr="004419DD" w:rsidRDefault="004419DD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29 </w:t>
            </w:r>
            <w:r w:rsidR="003B27F0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October 2021</w:t>
            </w:r>
          </w:p>
        </w:tc>
        <w:tc>
          <w:tcPr>
            <w:tcW w:w="6907" w:type="dxa"/>
          </w:tcPr>
          <w:p w14:paraId="5634C431" w14:textId="77777777" w:rsidR="004419DD" w:rsidRDefault="002927AA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DSWD FO-</w:t>
            </w:r>
            <w:r w:rsid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MIMAROPA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e</w:t>
            </w:r>
            <w:r w:rsidR="004419DD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nsure SWADT Offices are alerted to monitor daily local weather</w:t>
            </w:r>
            <w:r w:rsid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="004419DD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conditions, related eventualities, bulletins, warnings, and other</w:t>
            </w:r>
            <w:r w:rsid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="004419DD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advisories issued by the DOST-PAGASA, DENR-MGB, and other</w:t>
            </w:r>
            <w:r w:rsid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="004419DD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surveillance agencies.</w:t>
            </w:r>
          </w:p>
          <w:p w14:paraId="682111F4" w14:textId="77777777" w:rsid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DSWD FO-MIMAROPA ensure provision of information to all concerned offices, divisions,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sections, and units and on-call status of the expanded R/P/C/M QRTs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together with special projects staff on a 24/7 basis possible activation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of Virtual and Regional Emergency Operation Center and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augmentation to respond in case any untoward incident and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eventualities are reported.</w:t>
            </w:r>
          </w:p>
          <w:p w14:paraId="13EA55F9" w14:textId="77777777" w:rsid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DSWD FO-MIMAROPA is in 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>c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lose coordination with the Office of Civil Defense (OCD) and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RDRRMC MIMAROPA for any updates for monitoring purposes and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response mechanism for areas that will be affected.</w:t>
            </w:r>
          </w:p>
          <w:p w14:paraId="147F69AD" w14:textId="77777777" w:rsid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Standby logistical equipment and workforce through coordination with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SWADT Offices and concerned LGUs on the management of stranded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passengers, if any, in ports and terminals.</w:t>
            </w:r>
          </w:p>
          <w:p w14:paraId="26E1B11B" w14:textId="77777777" w:rsid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DSWD FO-MIMAROPA ensures that there is an on-call truck/s and disaster vehicle/s available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for delivery of goods and possible deployment of Regional staff for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augmentation support to areas that will be affected.</w:t>
            </w:r>
          </w:p>
          <w:p w14:paraId="0C147262" w14:textId="66CAA28A" w:rsidR="004419DD" w:rsidRPr="004419DD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Information and Communication Technology Management Unit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(ICTMU) is on standby status to ensure a robust communication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system.</w:t>
            </w:r>
          </w:p>
        </w:tc>
      </w:tr>
    </w:tbl>
    <w:p w14:paraId="2742860F" w14:textId="77777777" w:rsidR="003B27F0" w:rsidRPr="007809A8" w:rsidRDefault="003B27F0" w:rsidP="003B27F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8782D74" w14:textId="26E40AA2" w:rsidR="007809A8" w:rsidRDefault="007809A8" w:rsidP="007809A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</w:t>
      </w:r>
      <w:r w:rsidR="009B1C3E">
        <w:rPr>
          <w:rFonts w:ascii="Arial" w:hAnsi="Arial" w:cs="Arial"/>
          <w:b/>
          <w:sz w:val="24"/>
          <w:szCs w:val="24"/>
        </w:rPr>
        <w:t xml:space="preserve">FO </w:t>
      </w:r>
      <w:r w:rsidR="003B27F0"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809A8" w:rsidRPr="006B4BAB" w14:paraId="26055D3A" w14:textId="77777777" w:rsidTr="00B00AC0">
        <w:trPr>
          <w:tblHeader/>
        </w:trPr>
        <w:tc>
          <w:tcPr>
            <w:tcW w:w="2025" w:type="dxa"/>
          </w:tcPr>
          <w:p w14:paraId="05746D0C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E8817C9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809A8" w:rsidRPr="006B4BAB" w14:paraId="4862E83E" w14:textId="77777777" w:rsidTr="00B00AC0">
        <w:trPr>
          <w:tblHeader/>
        </w:trPr>
        <w:tc>
          <w:tcPr>
            <w:tcW w:w="2025" w:type="dxa"/>
          </w:tcPr>
          <w:p w14:paraId="36D6406E" w14:textId="1AFE7FBF" w:rsidR="007809A8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</w:t>
            </w:r>
            <w:r w:rsidR="007809A8"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D1B7A83" w14:textId="64E12B13" w:rsidR="007809A8" w:rsidRDefault="001F0FAC" w:rsidP="001F0FAC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FO-VI coordinated 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>with the LGU</w:t>
            </w:r>
            <w:r>
              <w:rPr>
                <w:rFonts w:ascii="Arial" w:hAnsi="Arial" w:cs="Arial"/>
                <w:bCs/>
                <w:sz w:val="20"/>
                <w:szCs w:val="24"/>
              </w:rPr>
              <w:t>s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and of other agencies,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also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deployed staff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to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ensure the strict implementation of minimum pub</w:t>
            </w:r>
            <w:r>
              <w:rPr>
                <w:rFonts w:ascii="Arial" w:hAnsi="Arial" w:cs="Arial"/>
                <w:bCs/>
                <w:sz w:val="20"/>
                <w:szCs w:val="24"/>
              </w:rPr>
              <w:t>lic health and safety protocols in the observance of “UNDAS” 2021.</w:t>
            </w:r>
          </w:p>
          <w:p w14:paraId="547284F1" w14:textId="3C595ADB" w:rsidR="001F0FAC" w:rsidRPr="004419DD" w:rsidRDefault="001F0FAC" w:rsidP="004419DD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FO-VI continues to monitor and disseminate real time weather reports and/or updates thru their official Facebook page.</w:t>
            </w:r>
          </w:p>
        </w:tc>
      </w:tr>
    </w:tbl>
    <w:p w14:paraId="07F1DFBF" w14:textId="77777777" w:rsidR="007809A8" w:rsidRDefault="007809A8" w:rsidP="0078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FA311" w14:textId="3FFA8D7E" w:rsidR="00C122AF" w:rsidRPr="00C122AF" w:rsidRDefault="00C122AF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252B863B" w:rsidR="00F96CAA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1C95A1B" w14:textId="77777777" w:rsidR="00C122AF" w:rsidRPr="00FE7C33" w:rsidRDefault="00C122AF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133E948" w:rsidR="00A03B4C" w:rsidRPr="00FE7C33" w:rsidRDefault="00A03B4C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D18F09B" w:rsidR="007F2E58" w:rsidRPr="00FE7C33" w:rsidRDefault="004419DD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9DD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FE7C33" w:rsidRDefault="007F2E58" w:rsidP="00284B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26"/>
      <w:footerReference w:type="default" r:id="rId27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29B5" w14:textId="77777777" w:rsidR="00AF179A" w:rsidRDefault="00AF179A" w:rsidP="00C12445">
      <w:pPr>
        <w:spacing w:after="0" w:line="240" w:lineRule="auto"/>
      </w:pPr>
      <w:r>
        <w:separator/>
      </w:r>
    </w:p>
  </w:endnote>
  <w:endnote w:type="continuationSeparator" w:id="0">
    <w:p w14:paraId="3B5A8647" w14:textId="77777777" w:rsidR="00AF179A" w:rsidRDefault="00AF179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D32B1A" w:rsidRPr="00905CC2" w:rsidRDefault="00D32B1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41DEC94" w:rsidR="00D32B1A" w:rsidRPr="00CB6F4E" w:rsidRDefault="00D32B1A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</w:t>
            </w:r>
            <w:r w:rsidR="00E14CEB">
              <w:rPr>
                <w:sz w:val="16"/>
                <w:szCs w:val="20"/>
              </w:rPr>
              <w:t xml:space="preserve">Preparedness for Response Report#2 on the Observance of Undas 2021 </w:t>
            </w:r>
            <w:r w:rsidR="00907745">
              <w:rPr>
                <w:sz w:val="16"/>
                <w:szCs w:val="20"/>
              </w:rPr>
              <w:t>as of 30</w:t>
            </w:r>
            <w:r>
              <w:rPr>
                <w:sz w:val="16"/>
                <w:szCs w:val="20"/>
              </w:rPr>
              <w:t xml:space="preserve"> October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D6F18">
              <w:rPr>
                <w:b/>
                <w:bCs/>
                <w:noProof/>
                <w:sz w:val="16"/>
                <w:szCs w:val="20"/>
              </w:rPr>
              <w:t>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D6F18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0A25" w14:textId="77777777" w:rsidR="00AF179A" w:rsidRDefault="00AF179A" w:rsidP="00C12445">
      <w:pPr>
        <w:spacing w:after="0" w:line="240" w:lineRule="auto"/>
      </w:pPr>
      <w:r>
        <w:separator/>
      </w:r>
    </w:p>
  </w:footnote>
  <w:footnote w:type="continuationSeparator" w:id="0">
    <w:p w14:paraId="6D1C9DEB" w14:textId="77777777" w:rsidR="00AF179A" w:rsidRDefault="00AF179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D32B1A" w:rsidRDefault="00D32B1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D32B1A" w:rsidRDefault="00D32B1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D32B1A" w:rsidRDefault="00D32B1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D32B1A" w:rsidRDefault="00D3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5B"/>
    <w:multiLevelType w:val="hybridMultilevel"/>
    <w:tmpl w:val="4D4CB81E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83916"/>
    <w:multiLevelType w:val="hybridMultilevel"/>
    <w:tmpl w:val="FE046480"/>
    <w:lvl w:ilvl="0" w:tplc="F2C044DC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67E1"/>
    <w:multiLevelType w:val="hybridMultilevel"/>
    <w:tmpl w:val="F650151A"/>
    <w:lvl w:ilvl="0" w:tplc="2C983926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D1BC8"/>
    <w:multiLevelType w:val="hybridMultilevel"/>
    <w:tmpl w:val="AD041E7C"/>
    <w:lvl w:ilvl="0" w:tplc="3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80385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B4DDD"/>
    <w:multiLevelType w:val="multilevel"/>
    <w:tmpl w:val="C4C686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363C8B"/>
    <w:multiLevelType w:val="hybridMultilevel"/>
    <w:tmpl w:val="71D207D6"/>
    <w:lvl w:ilvl="0" w:tplc="75F4A5AE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1"/>
  </w:num>
  <w:num w:numId="5">
    <w:abstractNumId w:val="3"/>
  </w:num>
  <w:num w:numId="6">
    <w:abstractNumId w:val="10"/>
  </w:num>
  <w:num w:numId="7">
    <w:abstractNumId w:val="30"/>
  </w:num>
  <w:num w:numId="8">
    <w:abstractNumId w:val="1"/>
  </w:num>
  <w:num w:numId="9">
    <w:abstractNumId w:val="16"/>
  </w:num>
  <w:num w:numId="10">
    <w:abstractNumId w:val="18"/>
  </w:num>
  <w:num w:numId="11">
    <w:abstractNumId w:val="26"/>
  </w:num>
  <w:num w:numId="12">
    <w:abstractNumId w:val="19"/>
  </w:num>
  <w:num w:numId="13">
    <w:abstractNumId w:val="22"/>
  </w:num>
  <w:num w:numId="14">
    <w:abstractNumId w:val="24"/>
  </w:num>
  <w:num w:numId="15">
    <w:abstractNumId w:val="20"/>
  </w:num>
  <w:num w:numId="16">
    <w:abstractNumId w:val="5"/>
  </w:num>
  <w:num w:numId="17">
    <w:abstractNumId w:val="7"/>
  </w:num>
  <w:num w:numId="18">
    <w:abstractNumId w:val="29"/>
  </w:num>
  <w:num w:numId="19">
    <w:abstractNumId w:val="27"/>
  </w:num>
  <w:num w:numId="20">
    <w:abstractNumId w:val="12"/>
  </w:num>
  <w:num w:numId="21">
    <w:abstractNumId w:val="8"/>
  </w:num>
  <w:num w:numId="22">
    <w:abstractNumId w:val="9"/>
  </w:num>
  <w:num w:numId="23">
    <w:abstractNumId w:val="23"/>
  </w:num>
  <w:num w:numId="24">
    <w:abstractNumId w:val="11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4"/>
  </w:num>
  <w:num w:numId="30">
    <w:abstractNumId w:val="25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5289"/>
    <w:rsid w:val="00047727"/>
    <w:rsid w:val="000523F6"/>
    <w:rsid w:val="00052F0B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05FBC"/>
    <w:rsid w:val="00112FC8"/>
    <w:rsid w:val="00114A52"/>
    <w:rsid w:val="00115B8C"/>
    <w:rsid w:val="00116523"/>
    <w:rsid w:val="0011703D"/>
    <w:rsid w:val="00121396"/>
    <w:rsid w:val="001220F8"/>
    <w:rsid w:val="001222C5"/>
    <w:rsid w:val="00122464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5700"/>
    <w:rsid w:val="001A6A2F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0FAC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CAD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6F6E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413B"/>
    <w:rsid w:val="00284B12"/>
    <w:rsid w:val="00285162"/>
    <w:rsid w:val="002865A7"/>
    <w:rsid w:val="0028707A"/>
    <w:rsid w:val="00287DE7"/>
    <w:rsid w:val="002927AA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62F8"/>
    <w:rsid w:val="002E7277"/>
    <w:rsid w:val="002E760C"/>
    <w:rsid w:val="002E76DA"/>
    <w:rsid w:val="002E7A38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7C6"/>
    <w:rsid w:val="0032420F"/>
    <w:rsid w:val="00325351"/>
    <w:rsid w:val="00325BDD"/>
    <w:rsid w:val="00327113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4881"/>
    <w:rsid w:val="0038613A"/>
    <w:rsid w:val="00387A68"/>
    <w:rsid w:val="00387B86"/>
    <w:rsid w:val="00387CB3"/>
    <w:rsid w:val="003916D5"/>
    <w:rsid w:val="00392CC3"/>
    <w:rsid w:val="00394E19"/>
    <w:rsid w:val="003978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27F0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4BDA"/>
    <w:rsid w:val="003D5188"/>
    <w:rsid w:val="003D7C5F"/>
    <w:rsid w:val="003E3D36"/>
    <w:rsid w:val="003E5113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19DD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157C"/>
    <w:rsid w:val="004A58B1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6B3"/>
    <w:rsid w:val="004E0B17"/>
    <w:rsid w:val="004E1C60"/>
    <w:rsid w:val="004E30B8"/>
    <w:rsid w:val="004E4F22"/>
    <w:rsid w:val="004E63E3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543D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062E"/>
    <w:rsid w:val="00551AF6"/>
    <w:rsid w:val="005525BC"/>
    <w:rsid w:val="00555771"/>
    <w:rsid w:val="00556340"/>
    <w:rsid w:val="00556A07"/>
    <w:rsid w:val="00556A30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28D0"/>
    <w:rsid w:val="00593841"/>
    <w:rsid w:val="0059395E"/>
    <w:rsid w:val="00593E54"/>
    <w:rsid w:val="0059407D"/>
    <w:rsid w:val="005964A6"/>
    <w:rsid w:val="0059671E"/>
    <w:rsid w:val="00597F5C"/>
    <w:rsid w:val="005A1A7D"/>
    <w:rsid w:val="005A242E"/>
    <w:rsid w:val="005A4529"/>
    <w:rsid w:val="005A5962"/>
    <w:rsid w:val="005A72F2"/>
    <w:rsid w:val="005B218F"/>
    <w:rsid w:val="005B2DC1"/>
    <w:rsid w:val="005B2EF0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3FA7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03E5"/>
    <w:rsid w:val="007206EC"/>
    <w:rsid w:val="0072102F"/>
    <w:rsid w:val="00724C56"/>
    <w:rsid w:val="00724E89"/>
    <w:rsid w:val="00724F28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09A8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965E7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6329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599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E9B"/>
    <w:rsid w:val="00900B1C"/>
    <w:rsid w:val="0090112B"/>
    <w:rsid w:val="009022F0"/>
    <w:rsid w:val="00903749"/>
    <w:rsid w:val="0090385E"/>
    <w:rsid w:val="009045BC"/>
    <w:rsid w:val="00904AD8"/>
    <w:rsid w:val="00905CC2"/>
    <w:rsid w:val="009063CE"/>
    <w:rsid w:val="00907745"/>
    <w:rsid w:val="00911570"/>
    <w:rsid w:val="00911FA7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1611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3E"/>
    <w:rsid w:val="009B1CA1"/>
    <w:rsid w:val="009B3B07"/>
    <w:rsid w:val="009B521C"/>
    <w:rsid w:val="009B6CBE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433"/>
    <w:rsid w:val="009E0C40"/>
    <w:rsid w:val="009E102B"/>
    <w:rsid w:val="009E18F8"/>
    <w:rsid w:val="009E1AB2"/>
    <w:rsid w:val="009E349D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A01869"/>
    <w:rsid w:val="00A03B4C"/>
    <w:rsid w:val="00A049F2"/>
    <w:rsid w:val="00A06F34"/>
    <w:rsid w:val="00A105E0"/>
    <w:rsid w:val="00A12B08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3E5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A6A1F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79A"/>
    <w:rsid w:val="00AF196E"/>
    <w:rsid w:val="00AF1AB0"/>
    <w:rsid w:val="00AF292C"/>
    <w:rsid w:val="00AF2E69"/>
    <w:rsid w:val="00AF391D"/>
    <w:rsid w:val="00AF51F9"/>
    <w:rsid w:val="00AF59D9"/>
    <w:rsid w:val="00AF6966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40A3"/>
    <w:rsid w:val="00BA78EE"/>
    <w:rsid w:val="00BB0528"/>
    <w:rsid w:val="00BB11C7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2AF"/>
    <w:rsid w:val="00C12445"/>
    <w:rsid w:val="00C13003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2600"/>
    <w:rsid w:val="00CD4312"/>
    <w:rsid w:val="00CD6F18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29C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54C7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B60F7"/>
    <w:rsid w:val="00DC1285"/>
    <w:rsid w:val="00DC262C"/>
    <w:rsid w:val="00DC2700"/>
    <w:rsid w:val="00DC3966"/>
    <w:rsid w:val="00DC452B"/>
    <w:rsid w:val="00DC4B3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14CEB"/>
    <w:rsid w:val="00E23200"/>
    <w:rsid w:val="00E24BC3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864F7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2D3D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6F4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35E"/>
    <w:rsid w:val="00FE7C33"/>
    <w:rsid w:val="00FF1F48"/>
    <w:rsid w:val="00FF3341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jgrafanan\Downloads\Stockpile%20and%20Standby%20Funds%20(SSF)%20Monitoring%20as%20of%2027%20October%202021,%204PM.xlsx" TargetMode="External"/><Relationship Id="rId13" Type="http://schemas.openxmlformats.org/officeDocument/2006/relationships/hyperlink" Target="file:///C:\Users\mjgrafanan\Downloads\Stockpile%20and%20Standby%20Funds%20(SSF)%20Monitoring%20as%20of%2027%20October%202021,%204PM.xlsx" TargetMode="External"/><Relationship Id="rId18" Type="http://schemas.openxmlformats.org/officeDocument/2006/relationships/hyperlink" Target="file:///C:\Users\mjgrafanan\Downloads\Stockpile%20and%20Standby%20Funds%20(SSF)%20Monitoring%20as%20of%2027%20October%202021,%204PM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mjgrafanan\Downloads\Stockpile%20and%20Standby%20Funds%20(SSF)%20Monitoring%20as%20of%2027%20October%202021,%204PM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jgrafanan\Downloads\Stockpile%20and%20Standby%20Funds%20(SSF)%20Monitoring%20as%20of%2027%20October%202021,%204PM.xlsx" TargetMode="External"/><Relationship Id="rId17" Type="http://schemas.openxmlformats.org/officeDocument/2006/relationships/hyperlink" Target="file:///C:\Users\mjgrafanan\Downloads\Stockpile%20and%20Standby%20Funds%20(SSF)%20Monitoring%20as%20of%2027%20October%202021,%204PM.xlsx" TargetMode="External"/><Relationship Id="rId25" Type="http://schemas.openxmlformats.org/officeDocument/2006/relationships/hyperlink" Target="file:///C:\Users\mjgrafanan\Downloads\Stockpile%20and%20Standby%20Funds%20(SSF)%20Monitoring%20as%20of%2027%20October%202021,%204PM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jgrafanan\Downloads\Stockpile%20and%20Standby%20Funds%20(SSF)%20Monitoring%20as%20of%2027%20October%202021,%204PM.xlsx" TargetMode="External"/><Relationship Id="rId20" Type="http://schemas.openxmlformats.org/officeDocument/2006/relationships/hyperlink" Target="file:///C:\Users\mjgrafanan\Downloads\Stockpile%20and%20Standby%20Funds%20(SSF)%20Monitoring%20as%20of%2027%20October%202021,%204PM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jgrafanan\Downloads\Stockpile%20and%20Standby%20Funds%20(SSF)%20Monitoring%20as%20of%2027%20October%202021,%204PM.xlsx" TargetMode="External"/><Relationship Id="rId24" Type="http://schemas.openxmlformats.org/officeDocument/2006/relationships/hyperlink" Target="file:///C:\Users\mjgrafanan\Downloads\Stockpile%20and%20Standby%20Funds%20(SSF)%20Monitoring%20as%20of%2027%20October%202021,%204PM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jgrafanan\Downloads\Stockpile%20and%20Standby%20Funds%20(SSF)%20Monitoring%20as%20of%2027%20October%202021,%204PM.xlsx" TargetMode="External"/><Relationship Id="rId23" Type="http://schemas.openxmlformats.org/officeDocument/2006/relationships/hyperlink" Target="file:///C:\Users\mjgrafanan\Downloads\Stockpile%20and%20Standby%20Funds%20(SSF)%20Monitoring%20as%20of%2027%20October%202021,%204PM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mjgrafanan\Downloads\Stockpile%20and%20Standby%20Funds%20(SSF)%20Monitoring%20as%20of%2027%20October%202021,%204PM.xlsx" TargetMode="External"/><Relationship Id="rId19" Type="http://schemas.openxmlformats.org/officeDocument/2006/relationships/hyperlink" Target="file:///C:\Users\mjgrafanan\Downloads\Stockpile%20and%20Standby%20Funds%20(SSF)%20Monitoring%20as%20of%2027%20October%202021,%204PM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jgrafanan\Downloads\Stockpile%20and%20Standby%20Funds%20(SSF)%20Monitoring%20as%20of%2027%20October%202021,%204PM.xlsx" TargetMode="External"/><Relationship Id="rId14" Type="http://schemas.openxmlformats.org/officeDocument/2006/relationships/hyperlink" Target="file:///C:\Users\mjgrafanan\Downloads\Stockpile%20and%20Standby%20Funds%20(SSF)%20Monitoring%20as%20of%2027%20October%202021,%204PM.xlsx" TargetMode="External"/><Relationship Id="rId22" Type="http://schemas.openxmlformats.org/officeDocument/2006/relationships/hyperlink" Target="file:///C:\Users\mjgrafanan\Downloads\Stockpile%20and%20Standby%20Funds%20(SSF)%20Monitoring%20as%20of%2027%20October%202021,%204PM.xls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34AE-4245-48CB-B051-49F4C9D2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8</cp:revision>
  <cp:lastPrinted>2021-07-05T02:11:00Z</cp:lastPrinted>
  <dcterms:created xsi:type="dcterms:W3CDTF">2021-10-30T07:12:00Z</dcterms:created>
  <dcterms:modified xsi:type="dcterms:W3CDTF">2021-10-30T09:04:00Z</dcterms:modified>
</cp:coreProperties>
</file>