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0CD3" w14:textId="0DE00562" w:rsidR="007965E7" w:rsidRPr="00E67F2F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67F2F">
        <w:rPr>
          <w:rFonts w:ascii="Arial" w:eastAsia="Arial" w:hAnsi="Arial" w:cs="Arial"/>
          <w:b/>
          <w:sz w:val="32"/>
          <w:szCs w:val="24"/>
        </w:rPr>
        <w:t>DSWD DROMIC Pre</w:t>
      </w:r>
      <w:r w:rsidR="004419DD">
        <w:rPr>
          <w:rFonts w:ascii="Arial" w:eastAsia="Arial" w:hAnsi="Arial" w:cs="Arial"/>
          <w:b/>
          <w:sz w:val="32"/>
          <w:szCs w:val="24"/>
        </w:rPr>
        <w:t>paredness for Response Report #</w:t>
      </w:r>
      <w:r w:rsidR="0025659D">
        <w:rPr>
          <w:rFonts w:ascii="Arial" w:eastAsia="Arial" w:hAnsi="Arial" w:cs="Arial"/>
          <w:b/>
          <w:sz w:val="32"/>
          <w:szCs w:val="24"/>
        </w:rPr>
        <w:t>3</w:t>
      </w:r>
    </w:p>
    <w:p w14:paraId="4397CB0D" w14:textId="22A1FFBB" w:rsidR="007965E7" w:rsidRPr="00E67F2F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E67F2F">
        <w:rPr>
          <w:rFonts w:ascii="Arial" w:eastAsia="Arial" w:hAnsi="Arial" w:cs="Arial"/>
          <w:b/>
          <w:sz w:val="32"/>
          <w:szCs w:val="24"/>
        </w:rPr>
        <w:t xml:space="preserve">on </w:t>
      </w:r>
      <w:r>
        <w:rPr>
          <w:rFonts w:ascii="Arial" w:eastAsia="Arial" w:hAnsi="Arial" w:cs="Arial"/>
          <w:b/>
          <w:sz w:val="32"/>
          <w:szCs w:val="24"/>
        </w:rPr>
        <w:t xml:space="preserve">the Observance of </w:t>
      </w:r>
      <w:r w:rsidR="001F0FAC">
        <w:rPr>
          <w:rFonts w:ascii="Arial" w:eastAsia="Arial" w:hAnsi="Arial" w:cs="Arial"/>
          <w:b/>
          <w:sz w:val="32"/>
          <w:szCs w:val="24"/>
        </w:rPr>
        <w:t>“UNDAS”</w:t>
      </w:r>
      <w:r>
        <w:rPr>
          <w:rFonts w:ascii="Arial" w:eastAsia="Arial" w:hAnsi="Arial" w:cs="Arial"/>
          <w:b/>
          <w:sz w:val="32"/>
          <w:szCs w:val="24"/>
        </w:rPr>
        <w:t xml:space="preserve"> 2021</w:t>
      </w:r>
    </w:p>
    <w:p w14:paraId="315587BE" w14:textId="18029480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E7C6C">
        <w:rPr>
          <w:rFonts w:ascii="Arial" w:eastAsia="Arial" w:hAnsi="Arial" w:cs="Arial"/>
          <w:sz w:val="24"/>
          <w:szCs w:val="24"/>
        </w:rPr>
        <w:t xml:space="preserve">as of </w:t>
      </w:r>
      <w:r w:rsidR="0025659D">
        <w:rPr>
          <w:rFonts w:ascii="Arial" w:eastAsia="Arial" w:hAnsi="Arial" w:cs="Arial"/>
          <w:sz w:val="24"/>
          <w:szCs w:val="24"/>
        </w:rPr>
        <w:t>01 November</w:t>
      </w:r>
      <w:r>
        <w:rPr>
          <w:rFonts w:ascii="Arial" w:eastAsia="Arial" w:hAnsi="Arial" w:cs="Arial"/>
          <w:sz w:val="24"/>
          <w:szCs w:val="24"/>
        </w:rPr>
        <w:t xml:space="preserve"> 2021</w:t>
      </w:r>
      <w:r w:rsidRPr="00CE7C6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3B2C3975" w14:textId="3B19CD27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7E0260F" w14:textId="12E6B1A6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DBDAB7" w14:textId="77777777" w:rsidR="005A5962" w:rsidRPr="001E5CF7" w:rsidRDefault="005A5962" w:rsidP="007809A8">
      <w:pPr>
        <w:pStyle w:val="NoSpacing"/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8A8A9AD" w14:textId="12CBB78C" w:rsidR="00402318" w:rsidRDefault="001F0FAC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(also known as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Todos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los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Santos,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Araw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ng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mga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proofErr w:type="spellStart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Patay</w:t>
      </w:r>
      <w:proofErr w:type="spellEnd"/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, or All Saints' Day)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is a holiday honoring the dead and is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widely celebrated in the Philippines. Filipino families traditionally visit cemeteries on November 1 or 2, to hold gatherings around the graves of their departed loved ones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to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lay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out flowers, 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>candles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and offer prayers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.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The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occasion is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often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treated as a reunion or banquet, with families bringing food and drink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>s</w:t>
      </w:r>
      <w:r w:rsidR="007965E7" w:rsidRPr="007965E7">
        <w:rPr>
          <w:rFonts w:ascii="Arial" w:eastAsia="Calibri" w:hAnsi="Arial" w:cs="Arial"/>
          <w:bCs/>
          <w:sz w:val="24"/>
          <w:szCs w:val="24"/>
          <w:lang w:val="en-PH"/>
        </w:rPr>
        <w:t xml:space="preserve"> and camping out all day or even overnight. It is an official, state-recognized holiday, so people get leave from school or work on these days.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This occasion usually</w:t>
      </w:r>
      <w:r w:rsidR="0051543D" w:rsidRP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leads to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the </w:t>
      </w:r>
      <w:r w:rsidR="0051543D" w:rsidRPr="0051543D">
        <w:rPr>
          <w:rFonts w:ascii="Arial" w:eastAsia="Calibri" w:hAnsi="Arial" w:cs="Arial"/>
          <w:bCs/>
          <w:sz w:val="24"/>
          <w:szCs w:val="24"/>
          <w:lang w:val="en-PH"/>
        </w:rPr>
        <w:t>increased volume of people on the roads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, cemeteries, </w:t>
      </w:r>
      <w:r w:rsidR="0051543D" w:rsidRPr="0051543D">
        <w:rPr>
          <w:rFonts w:ascii="Arial" w:eastAsia="Calibri" w:hAnsi="Arial" w:cs="Arial"/>
          <w:bCs/>
          <w:sz w:val="24"/>
          <w:szCs w:val="24"/>
          <w:lang w:val="en-PH"/>
        </w:rPr>
        <w:t>sacred grounds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, and other related areas around the country.</w:t>
      </w:r>
    </w:p>
    <w:p w14:paraId="766F2696" w14:textId="0005CDA1" w:rsidR="00EE2D3D" w:rsidRDefault="00EE2D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79AE46F7" w14:textId="2A371763" w:rsidR="00EE2D3D" w:rsidRDefault="001F0FAC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EE2D3D">
        <w:rPr>
          <w:rFonts w:ascii="Arial" w:eastAsia="Calibri" w:hAnsi="Arial" w:cs="Arial"/>
          <w:bCs/>
          <w:sz w:val="24"/>
          <w:szCs w:val="24"/>
          <w:lang w:val="en-PH"/>
        </w:rPr>
        <w:t xml:space="preserve"> is traditionally celebrated on the first and second day of November. This year, November 1 (All Saint’s Day) and November 2 (All Souls’ Day) will fall on Monday and Tuesday respectively.</w:t>
      </w:r>
    </w:p>
    <w:p w14:paraId="32D4CBBE" w14:textId="25D03FDF" w:rsidR="0051543D" w:rsidRDefault="005154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66849B9A" w14:textId="7EE2D011" w:rsidR="00CD2600" w:rsidRDefault="00EE2D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The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usual observance of </w:t>
      </w:r>
      <w:r w:rsidR="001F0FA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has changed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during the </w:t>
      </w:r>
      <w:r w:rsidR="004E06B3">
        <w:rPr>
          <w:rFonts w:ascii="Arial" w:eastAsia="Calibri" w:hAnsi="Arial" w:cs="Arial"/>
          <w:bCs/>
          <w:sz w:val="24"/>
          <w:szCs w:val="24"/>
          <w:lang w:val="en-PH"/>
        </w:rPr>
        <w:t xml:space="preserve">COVID-19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pandemic</w:t>
      </w:r>
      <w:r w:rsidR="0051543D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in accordance to the public protocols and guidelines provided in the</w:t>
      </w:r>
      <w:r w:rsidR="00CD2600" w:rsidRP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Omnibus Guidelines on the Implementation of Community Quarantine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. This was reiterated by Presidential </w:t>
      </w:r>
      <w:proofErr w:type="spellStart"/>
      <w:r w:rsidR="00CD2600">
        <w:rPr>
          <w:rFonts w:ascii="Arial" w:eastAsia="Calibri" w:hAnsi="Arial" w:cs="Arial"/>
          <w:bCs/>
          <w:sz w:val="24"/>
          <w:szCs w:val="24"/>
          <w:lang w:val="en-PH"/>
        </w:rPr>
        <w:t>Spokersperson</w:t>
      </w:r>
      <w:proofErr w:type="spellEnd"/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Harry Roque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during a press briefing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on 25 October 2021 reminding the public that the</w:t>
      </w:r>
      <w:r w:rsidR="00CD2600" w:rsidRP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protocols and guidelines which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were</w:t>
      </w:r>
      <w:r w:rsidR="00CD2600" w:rsidRP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adopted last year will still be followed for </w:t>
      </w:r>
      <w:r w:rsidR="001F0FA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CD2600">
        <w:rPr>
          <w:rFonts w:ascii="Arial" w:eastAsia="Calibri" w:hAnsi="Arial" w:cs="Arial"/>
          <w:bCs/>
          <w:sz w:val="24"/>
          <w:szCs w:val="24"/>
          <w:lang w:val="en-PH"/>
        </w:rPr>
        <w:t xml:space="preserve"> 2021.</w:t>
      </w:r>
    </w:p>
    <w:p w14:paraId="75050F4F" w14:textId="77777777" w:rsidR="007809A8" w:rsidRDefault="007809A8" w:rsidP="007965E7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E44DD34" w14:textId="40F7EF38" w:rsidR="003B27F0" w:rsidRPr="003B27F0" w:rsidRDefault="003C1142" w:rsidP="003B27F0">
      <w:pPr>
        <w:pStyle w:val="NoSpacing1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809A8" w:rsidRPr="007809A8">
        <w:rPr>
          <w:rFonts w:ascii="Arial" w:hAnsi="Arial" w:cs="Arial"/>
          <w:bCs/>
          <w:i/>
          <w:color w:val="0070C0"/>
          <w:sz w:val="16"/>
          <w:szCs w:val="24"/>
        </w:rPr>
        <w:t>Wikipilipinas.org</w:t>
      </w:r>
      <w:r w:rsidR="007809A8" w:rsidRPr="007809A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="00CD2600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and </w:t>
      </w:r>
      <w:r w:rsidR="003B27F0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PCOO</w:t>
      </w:r>
    </w:p>
    <w:p w14:paraId="1083C3F7" w14:textId="10430341" w:rsidR="00D17629" w:rsidRDefault="00D17629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20103881" w14:textId="0EDE4D9A" w:rsidR="007809A8" w:rsidRDefault="007809A8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3E27DBDE" w14:textId="427D157A" w:rsidR="007809A8" w:rsidRDefault="007809A8" w:rsidP="007809A8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7809A8"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53ADC9FA" w14:textId="77777777" w:rsidR="007809A8" w:rsidRDefault="007809A8" w:rsidP="007809A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D53168" w14:textId="2C79161B" w:rsidR="007809A8" w:rsidRPr="008F25FF" w:rsidRDefault="007809A8" w:rsidP="007809A8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F25FF">
        <w:rPr>
          <w:rFonts w:ascii="Arial" w:eastAsia="Arial" w:hAnsi="Arial" w:cs="Arial"/>
          <w:sz w:val="24"/>
          <w:szCs w:val="24"/>
        </w:rPr>
        <w:t xml:space="preserve">The DSWD Central Office (CO), FOs, and National Resource Operations Center (NROC) have stockpiles and standby funds amounting to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A7144" w:rsidRPr="001A7144">
        <w:rPr>
          <w:rFonts w:ascii="Arial" w:eastAsia="Arial" w:hAnsi="Arial" w:cs="Arial"/>
          <w:b/>
          <w:color w:val="0070C0"/>
          <w:sz w:val="24"/>
          <w:szCs w:val="24"/>
        </w:rPr>
        <w:t>1,821,414,054.47</w:t>
      </w:r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7BD54981" w14:textId="77777777" w:rsidR="007809A8" w:rsidRPr="008F25FF" w:rsidRDefault="007809A8" w:rsidP="007809A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71DB31" w14:textId="77777777" w:rsidR="007809A8" w:rsidRPr="008F25FF" w:rsidRDefault="007809A8" w:rsidP="007809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8F25FF">
        <w:rPr>
          <w:rFonts w:ascii="Arial" w:eastAsia="Arial" w:hAnsi="Arial" w:cs="Arial"/>
          <w:b/>
          <w:sz w:val="24"/>
          <w:szCs w:val="24"/>
        </w:rPr>
        <w:t>Standby Funds</w:t>
      </w:r>
    </w:p>
    <w:p w14:paraId="6AF2AE0E" w14:textId="77777777" w:rsidR="007809A8" w:rsidRPr="00556A30" w:rsidRDefault="007809A8" w:rsidP="007809A8">
      <w:pPr>
        <w:spacing w:after="0" w:line="240" w:lineRule="auto"/>
        <w:ind w:left="709"/>
        <w:jc w:val="both"/>
        <w:rPr>
          <w:rFonts w:ascii="Arial" w:eastAsia="Arial" w:hAnsi="Arial" w:cs="Arial"/>
          <w:sz w:val="28"/>
          <w:szCs w:val="28"/>
        </w:rPr>
      </w:pPr>
      <w:r w:rsidRPr="00556A30">
        <w:rPr>
          <w:rFonts w:ascii="Arial" w:eastAsia="Arial" w:hAnsi="Arial" w:cs="Arial"/>
          <w:sz w:val="24"/>
          <w:szCs w:val="24"/>
        </w:rPr>
        <w:t xml:space="preserve">A total of </w:t>
      </w:r>
      <w:r w:rsidRPr="00556A30">
        <w:rPr>
          <w:rFonts w:ascii="Arial" w:eastAsia="Arial" w:hAnsi="Arial" w:cs="Arial"/>
          <w:b/>
          <w:sz w:val="24"/>
          <w:szCs w:val="24"/>
        </w:rPr>
        <w:t>₱951,726,299.44 standby funds</w:t>
      </w:r>
      <w:r w:rsidRPr="00556A30">
        <w:rPr>
          <w:rFonts w:ascii="Arial" w:eastAsia="Arial" w:hAnsi="Arial" w:cs="Arial"/>
          <w:sz w:val="24"/>
          <w:szCs w:val="24"/>
        </w:rPr>
        <w:t xml:space="preserve"> in the CO and FOs. Of the said amount, </w:t>
      </w:r>
      <w:r w:rsidRPr="00556A30">
        <w:rPr>
          <w:rFonts w:ascii="Arial" w:eastAsia="Arial" w:hAnsi="Arial" w:cs="Arial"/>
          <w:b/>
          <w:sz w:val="24"/>
          <w:szCs w:val="24"/>
        </w:rPr>
        <w:t xml:space="preserve">₱895,185,870.95 </w:t>
      </w:r>
      <w:r w:rsidRPr="00556A30">
        <w:rPr>
          <w:rFonts w:ascii="Arial" w:eastAsia="Arial" w:hAnsi="Arial" w:cs="Arial"/>
          <w:sz w:val="24"/>
          <w:szCs w:val="24"/>
        </w:rPr>
        <w:t xml:space="preserve">is the available </w:t>
      </w:r>
      <w:r w:rsidRPr="00556A30">
        <w:rPr>
          <w:rFonts w:ascii="Arial" w:eastAsia="Arial" w:hAnsi="Arial" w:cs="Arial"/>
          <w:b/>
          <w:sz w:val="24"/>
          <w:szCs w:val="24"/>
        </w:rPr>
        <w:t>Quick Response Fund (QRF)</w:t>
      </w:r>
      <w:r w:rsidRPr="00556A30">
        <w:rPr>
          <w:rFonts w:ascii="Arial" w:eastAsia="Arial" w:hAnsi="Arial" w:cs="Arial"/>
          <w:sz w:val="24"/>
          <w:szCs w:val="24"/>
        </w:rPr>
        <w:t xml:space="preserve"> in the CO.</w:t>
      </w:r>
      <w:r w:rsidRPr="00556A30">
        <w:rPr>
          <w:rFonts w:ascii="Arial" w:eastAsia="Arial" w:hAnsi="Arial" w:cs="Arial"/>
          <w:sz w:val="28"/>
          <w:szCs w:val="28"/>
        </w:rPr>
        <w:tab/>
      </w:r>
    </w:p>
    <w:p w14:paraId="7B0C4552" w14:textId="77777777" w:rsidR="007809A8" w:rsidRPr="00556A30" w:rsidRDefault="007809A8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0CC4CE8" w14:textId="77777777" w:rsidR="007809A8" w:rsidRPr="008F25FF" w:rsidRDefault="007809A8" w:rsidP="007809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142"/>
        <w:jc w:val="both"/>
        <w:rPr>
          <w:rFonts w:ascii="Arial" w:eastAsia="Arial" w:hAnsi="Arial" w:cs="Arial"/>
          <w:b/>
          <w:sz w:val="24"/>
          <w:szCs w:val="24"/>
        </w:rPr>
      </w:pPr>
      <w:r w:rsidRPr="008F25FF">
        <w:rPr>
          <w:rFonts w:ascii="Arial" w:eastAsia="Arial" w:hAnsi="Arial" w:cs="Arial"/>
          <w:b/>
          <w:sz w:val="24"/>
          <w:szCs w:val="24"/>
        </w:rPr>
        <w:t>Stockpiles</w:t>
      </w:r>
    </w:p>
    <w:p w14:paraId="0BE208CB" w14:textId="28928E94" w:rsidR="007809A8" w:rsidRDefault="007809A8" w:rsidP="007809A8">
      <w:pPr>
        <w:spacing w:after="0" w:line="240" w:lineRule="auto"/>
        <w:ind w:left="284" w:firstLine="283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F25FF">
        <w:rPr>
          <w:rFonts w:ascii="Arial" w:eastAsia="Arial" w:hAnsi="Arial" w:cs="Arial"/>
          <w:sz w:val="24"/>
          <w:szCs w:val="24"/>
        </w:rPr>
        <w:t xml:space="preserve">A total of </w:t>
      </w:r>
      <w:r w:rsidR="001A7144" w:rsidRPr="001A7144">
        <w:rPr>
          <w:rFonts w:ascii="Arial" w:eastAsia="Arial" w:hAnsi="Arial" w:cs="Arial"/>
          <w:b/>
          <w:color w:val="0070C0"/>
          <w:sz w:val="24"/>
          <w:szCs w:val="24"/>
        </w:rPr>
        <w:t>368,48</w:t>
      </w:r>
      <w:r w:rsidR="001A7144">
        <w:rPr>
          <w:rFonts w:ascii="Arial" w:eastAsia="Arial" w:hAnsi="Arial" w:cs="Arial"/>
          <w:b/>
          <w:color w:val="0070C0"/>
          <w:sz w:val="24"/>
          <w:szCs w:val="24"/>
        </w:rPr>
        <w:t>8 family food packs (FFPs)</w:t>
      </w:r>
      <w:r w:rsidRPr="008F25FF">
        <w:rPr>
          <w:rFonts w:ascii="Arial" w:eastAsia="Arial" w:hAnsi="Arial" w:cs="Arial"/>
          <w:sz w:val="24"/>
          <w:szCs w:val="24"/>
        </w:rPr>
        <w:t xml:space="preserve"> amounting to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A7144" w:rsidRPr="001A7144">
        <w:rPr>
          <w:rFonts w:ascii="Arial" w:eastAsia="Arial" w:hAnsi="Arial" w:cs="Arial"/>
          <w:b/>
          <w:color w:val="0070C0"/>
          <w:sz w:val="24"/>
          <w:szCs w:val="24"/>
        </w:rPr>
        <w:t>211,020,309.00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Pr="00B568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other</w:t>
      </w:r>
    </w:p>
    <w:p w14:paraId="64FF2E3C" w14:textId="75CF55EB" w:rsidR="007809A8" w:rsidRDefault="007809A8" w:rsidP="007809A8">
      <w:pPr>
        <w:spacing w:after="0" w:line="240" w:lineRule="auto"/>
        <w:ind w:left="284" w:firstLine="283"/>
        <w:jc w:val="both"/>
        <w:rPr>
          <w:rFonts w:ascii="Arial" w:eastAsia="Arial" w:hAnsi="Arial" w:cs="Arial"/>
          <w:sz w:val="24"/>
          <w:szCs w:val="24"/>
        </w:rPr>
      </w:pP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food items</w:t>
      </w:r>
      <w:r w:rsidRPr="008F25FF">
        <w:rPr>
          <w:rFonts w:ascii="Arial" w:eastAsia="Arial" w:hAnsi="Arial" w:cs="Arial"/>
          <w:sz w:val="24"/>
          <w:szCs w:val="24"/>
        </w:rPr>
        <w:t xml:space="preserve"> amounting to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A7144" w:rsidRPr="001A7144">
        <w:rPr>
          <w:rFonts w:ascii="Arial" w:eastAsia="Arial" w:hAnsi="Arial" w:cs="Arial"/>
          <w:b/>
          <w:color w:val="0070C0"/>
          <w:sz w:val="24"/>
          <w:szCs w:val="24"/>
        </w:rPr>
        <w:t>219,470,819.36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 xml:space="preserve">and </w:t>
      </w: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non-food items (FNIs)</w:t>
      </w:r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 xml:space="preserve">amounting to </w:t>
      </w:r>
    </w:p>
    <w:p w14:paraId="58AF2C55" w14:textId="17AA8AA0" w:rsidR="007809A8" w:rsidRPr="007809A8" w:rsidRDefault="007809A8" w:rsidP="007809A8">
      <w:pPr>
        <w:spacing w:after="0" w:line="240" w:lineRule="auto"/>
        <w:ind w:left="284" w:firstLine="283"/>
        <w:jc w:val="both"/>
        <w:rPr>
          <w:rFonts w:ascii="Arial" w:eastAsia="Arial" w:hAnsi="Arial" w:cs="Arial"/>
          <w:sz w:val="24"/>
          <w:szCs w:val="24"/>
        </w:rPr>
      </w:pPr>
      <w:r w:rsidRPr="00B568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A7144" w:rsidRPr="001A7144">
        <w:rPr>
          <w:rFonts w:ascii="Arial" w:eastAsia="Arial" w:hAnsi="Arial" w:cs="Arial"/>
          <w:b/>
          <w:color w:val="0070C0"/>
          <w:sz w:val="24"/>
          <w:szCs w:val="24"/>
        </w:rPr>
        <w:t>439,196,626.67</w:t>
      </w:r>
      <w:bookmarkStart w:id="0" w:name="_GoBack"/>
      <w:bookmarkEnd w:id="0"/>
      <w:r w:rsidRPr="008F25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5FF">
        <w:rPr>
          <w:rFonts w:ascii="Arial" w:eastAsia="Arial" w:hAnsi="Arial" w:cs="Arial"/>
          <w:sz w:val="24"/>
          <w:szCs w:val="24"/>
        </w:rPr>
        <w:t>are available.</w:t>
      </w:r>
    </w:p>
    <w:p w14:paraId="5344A0BB" w14:textId="278BC4A0" w:rsidR="007809A8" w:rsidRDefault="007809A8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802EE44" w14:textId="6836E410" w:rsidR="004419DD" w:rsidRDefault="004419DD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1CD81F0B" w14:textId="15044640" w:rsidR="004419DD" w:rsidRDefault="004419DD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007B534" w14:textId="77777777" w:rsidR="004419DD" w:rsidRDefault="004419DD" w:rsidP="007809A8">
      <w:pPr>
        <w:spacing w:after="0" w:line="240" w:lineRule="auto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AD6F656" w14:textId="77777777" w:rsidR="007809A8" w:rsidRDefault="007809A8" w:rsidP="007809A8">
      <w:pPr>
        <w:spacing w:after="0" w:line="240" w:lineRule="auto"/>
        <w:ind w:left="426" w:right="5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 xml:space="preserve">  Table 2. Available Stockpiles and Standby Funds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1398"/>
        <w:gridCol w:w="1301"/>
        <w:gridCol w:w="1141"/>
        <w:gridCol w:w="1301"/>
        <w:gridCol w:w="1303"/>
        <w:gridCol w:w="1306"/>
        <w:gridCol w:w="1424"/>
      </w:tblGrid>
      <w:tr w:rsidR="007809A8" w:rsidRPr="00CD062B" w14:paraId="35FDB7CD" w14:textId="77777777" w:rsidTr="0055062E">
        <w:trPr>
          <w:trHeight w:val="20"/>
          <w:tblHeader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3B4F0E5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F8A6F1C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CD570FE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235CA8CD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34C482EF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1DFE915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7809A8" w:rsidRPr="00CD062B" w14:paraId="689AC31A" w14:textId="77777777" w:rsidTr="0055062E">
        <w:trPr>
          <w:trHeight w:val="20"/>
          <w:tblHeader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FFF9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DEC1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CB67025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DF93A11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5D359D7A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6CE74289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6D37" w14:textId="77777777" w:rsidR="007809A8" w:rsidRPr="00CD062B" w:rsidRDefault="007809A8" w:rsidP="007809A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1A7144" w:rsidRPr="00CD062B" w14:paraId="2721DC17" w14:textId="77777777" w:rsidTr="0055062E">
        <w:trPr>
          <w:trHeight w:val="2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143B9A7C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4DA238F3" w14:textId="38A213E7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951,726,299.44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636F9B11" w14:textId="10CEEE2D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368,488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4B9CBE61" w14:textId="5157814C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211,020,309.00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57407BF5" w14:textId="442A9118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219,470,819.36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5FE05559" w14:textId="300D2208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439,196,626.67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vAlign w:val="center"/>
            <w:hideMark/>
          </w:tcPr>
          <w:p w14:paraId="3C370E06" w14:textId="02DF5E5B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1,821,414,054.47</w:t>
            </w:r>
          </w:p>
        </w:tc>
      </w:tr>
      <w:tr w:rsidR="001A7144" w:rsidRPr="00CD062B" w14:paraId="4F084B31" w14:textId="77777777" w:rsidTr="0055062E">
        <w:trPr>
          <w:trHeight w:val="20"/>
        </w:trPr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2503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CD062B">
              <w:rPr>
                <w:rFonts w:ascii="Arial Narrow" w:eastAsia="Times New Roman" w:hAnsi="Arial Narrow" w:cs="Arial"/>
                <w:sz w:val="18"/>
                <w:szCs w:val="18"/>
              </w:rPr>
              <w:t>Central Office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C8F2" w14:textId="793B4D2F" w:rsidR="001A7144" w:rsidRPr="001A7144" w:rsidRDefault="001A7144" w:rsidP="001A7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895,185,870.95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B21F" w14:textId="730CFA4F" w:rsidR="001A7144" w:rsidRPr="001A7144" w:rsidRDefault="001A7144" w:rsidP="001A7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30AC" w14:textId="53EB9AD0" w:rsidR="001A7144" w:rsidRPr="001A7144" w:rsidRDefault="001A7144" w:rsidP="001A7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EF0F" w14:textId="4134D1AC" w:rsidR="001A7144" w:rsidRPr="001A7144" w:rsidRDefault="001A7144" w:rsidP="001A7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CB3F" w14:textId="225C83E2" w:rsidR="001A7144" w:rsidRPr="001A7144" w:rsidRDefault="001A7144" w:rsidP="001A7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FD97" w14:textId="6E1AABD1" w:rsidR="001A7144" w:rsidRPr="001A7144" w:rsidRDefault="001A7144" w:rsidP="001A7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895,185,870.95</w:t>
            </w:r>
          </w:p>
        </w:tc>
      </w:tr>
      <w:tr w:rsidR="001A7144" w:rsidRPr="00CD062B" w14:paraId="4EA81F7B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7FA1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8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NRLMB - NROC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FB63" w14:textId="6A5EFD2F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CBC6" w14:textId="34DE2983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17,049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375C" w14:textId="508365A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9,194,166.00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8264" w14:textId="60857B98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36,830,583.52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F220" w14:textId="04DCD16E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61,102,015.76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6727" w14:textId="4AFDF476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107,126,765.28 </w:t>
            </w:r>
          </w:p>
        </w:tc>
      </w:tr>
      <w:tr w:rsidR="001A7144" w:rsidRPr="00CD062B" w14:paraId="35EA5216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8322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9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NRLMB - VDRC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73D7" w14:textId="2E285AD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B355" w14:textId="173DF77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3,002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8E82" w14:textId="0941181C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1,611,160.00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E7C5" w14:textId="044CF60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32,062,055.53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4289" w14:textId="417749EA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2,842,510.00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7709" w14:textId="26F6C22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36,515,725.53 </w:t>
            </w:r>
          </w:p>
        </w:tc>
      </w:tr>
      <w:tr w:rsidR="001A7144" w:rsidRPr="00CD062B" w14:paraId="7FCC2E8C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EA35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0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F9C0" w14:textId="3024DF77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123,035.20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1663" w14:textId="36F8EE1B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7,200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B36D" w14:textId="53CD1387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4,313,692.80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1FD0" w14:textId="13AC0AB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15,282,170.00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1F6B" w14:textId="22851C87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12,838,159.52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0FD6" w14:textId="16C704B4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32,557,057.52 </w:t>
            </w:r>
          </w:p>
        </w:tc>
      </w:tr>
      <w:tr w:rsidR="001A7144" w:rsidRPr="00CD062B" w14:paraId="24A653E1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BEB3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1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D05" w14:textId="69B8E796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4,959,298.68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8A69" w14:textId="1143CFF8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21,589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9FB6" w14:textId="10CB246E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13,872,720.40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BA1F" w14:textId="5CF72C5F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3,831,966.40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0928" w14:textId="00EA4391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10,770,307.69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31D3" w14:textId="4A64E922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33,434,293.17 </w:t>
            </w:r>
          </w:p>
        </w:tc>
      </w:tr>
      <w:tr w:rsidR="001A7144" w:rsidRPr="00CD062B" w14:paraId="75BC01B8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AB9E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2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8DCF" w14:textId="1612CF0A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2DFF" w14:textId="6225B2F2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19,911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436A" w14:textId="7FBBA248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13,006,875.53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00B0" w14:textId="5C5F2378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1,807,190.55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4F35" w14:textId="42EDEA25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16,192,101.77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740D" w14:textId="6CE363AF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34,006,167.85 </w:t>
            </w:r>
          </w:p>
        </w:tc>
      </w:tr>
      <w:tr w:rsidR="001A7144" w:rsidRPr="00CD062B" w14:paraId="7502DDC8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D85E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3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CALABARZON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76F8" w14:textId="25A2578C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0CB7" w14:textId="65A17DC3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14,277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B5CE" w14:textId="137D7791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9,855,335.30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53E9" w14:textId="78937682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3,508,586.00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F4B4" w14:textId="373DD564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103,311,874.34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55D0" w14:textId="0F0C3F4F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121,675,795.64 </w:t>
            </w:r>
          </w:p>
        </w:tc>
      </w:tr>
      <w:tr w:rsidR="001A7144" w:rsidRPr="00CD062B" w14:paraId="136D18C2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3DF7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4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MIMAROPA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ED65" w14:textId="519EF20C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0C2B" w14:textId="77D6F9FB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22,787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843E" w14:textId="4350C0F6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16,054,050.44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2853" w14:textId="518670D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9,984,849.00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BDE8" w14:textId="6C1E64C2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16,853,391.10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719B" w14:textId="3DD865AE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47,892,290.54 </w:t>
            </w:r>
          </w:p>
        </w:tc>
      </w:tr>
      <w:tr w:rsidR="001A7144" w:rsidRPr="00CD062B" w14:paraId="313903D6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8EF6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5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4DF4" w14:textId="1BE4ED24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AA2" w14:textId="12EA41F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23,141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6F65" w14:textId="76A413E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11,515,310.58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47A9" w14:textId="7BCA14B3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6,815,414.90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13A8" w14:textId="62891F6D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22,383,343.90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F835" w14:textId="3087BFFD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45,714,069.38 </w:t>
            </w:r>
          </w:p>
        </w:tc>
      </w:tr>
      <w:tr w:rsidR="001A7144" w:rsidRPr="00CD062B" w14:paraId="6526A20E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08DF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6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54F1" w14:textId="1E379A65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5,000,646.42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53D4" w14:textId="2511C326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45,748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C149" w14:textId="00C41402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23,188,272.09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DC1F" w14:textId="66319EA1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11,917,271.42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597D" w14:textId="53FCF28E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14,835,173.29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1483" w14:textId="1BDCA0F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54,941,363.22 </w:t>
            </w:r>
          </w:p>
        </w:tc>
      </w:tr>
      <w:tr w:rsidR="001A7144" w:rsidRPr="00CD062B" w14:paraId="5138680F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E355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7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EB19" w14:textId="4C138ABD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1943" w14:textId="0467B74C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46,637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10DC" w14:textId="5F7A7F4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21,604,650.55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8298" w14:textId="020DC37F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17,204,271.48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BD50" w14:textId="0C3AA176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15,304,807.82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7376" w14:textId="7E98E978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59,113,729.85 </w:t>
            </w:r>
          </w:p>
        </w:tc>
      </w:tr>
      <w:tr w:rsidR="001A7144" w:rsidRPr="00CD062B" w14:paraId="255EDF5E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DA64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8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VIII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3174" w14:textId="6EB9D39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4,215,000.00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042F" w14:textId="5C71C9A3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15,296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5F22" w14:textId="782CE9EB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7,699,583.28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6FF2" w14:textId="7910EE25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1,372,903.06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7386" w14:textId="358B6AC2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20,530,262.37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C901" w14:textId="71784D5B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33,817,748.71 </w:t>
            </w:r>
          </w:p>
        </w:tc>
      </w:tr>
      <w:tr w:rsidR="001A7144" w:rsidRPr="00CD062B" w14:paraId="154A041E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CEDF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19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IX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23EB" w14:textId="31AB8DB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BF39" w14:textId="0E3067B7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21,443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A0CE" w14:textId="56FB68FF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11,718,385.07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FA65" w14:textId="5288E82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1,083,599.04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BC65" w14:textId="7104274A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17,134,532.25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6861" w14:textId="6CF6A725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32,936,516.36 </w:t>
            </w:r>
          </w:p>
        </w:tc>
      </w:tr>
      <w:tr w:rsidR="001A7144" w:rsidRPr="00CD062B" w14:paraId="52964555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B330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0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X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0C6E" w14:textId="6A2B8B7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5,238,559.92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C98D" w14:textId="0568405A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47,922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0E26" w14:textId="125E9A73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32,531,484.54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9F3F" w14:textId="12F75E9D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55,958,210.26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0CC0" w14:textId="383B6ACA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46,110,914.31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0BED" w14:textId="7693DAF7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139,839,169.03 </w:t>
            </w:r>
          </w:p>
        </w:tc>
      </w:tr>
      <w:tr w:rsidR="001A7144" w:rsidRPr="00CD062B" w14:paraId="106D5F17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BD98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1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XI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69C2" w14:textId="5ACE37D7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DC6B" w14:textId="26EA7BCC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12,311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BD66" w14:textId="60CBAEF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5,945,081.55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EBAA" w14:textId="56C6084C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2,175,143.00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AB1A" w14:textId="5D401BBD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20,298,871.30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F631" w14:textId="3B651314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28,419,095.85 </w:t>
            </w:r>
          </w:p>
        </w:tc>
      </w:tr>
      <w:tr w:rsidR="001A7144" w:rsidRPr="00CD062B" w14:paraId="469587AA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AC0D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2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XII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5F7D" w14:textId="0722B668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3,000,969.85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2668" w14:textId="1913CEB4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12,153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687A" w14:textId="11BE64A6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7,843,533.75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048A" w14:textId="4536CF17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9,097,531.30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CB1F" w14:textId="18670BB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27,570,568.50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2574" w14:textId="42A63AF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47,512,603.40 </w:t>
            </w:r>
          </w:p>
        </w:tc>
      </w:tr>
      <w:tr w:rsidR="001A7144" w:rsidRPr="00CD062B" w14:paraId="081291DF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6B42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3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CARAGA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AF66" w14:textId="06AEEBED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AF9A" w14:textId="20522D96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9,994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6EBA" w14:textId="0907A0DF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4,537,325.00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AFDD" w14:textId="4C590134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24,825.88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600B" w14:textId="4FCAA5A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9,548,823.40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46AA" w14:textId="698C7CEA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19,110,974.28 </w:t>
            </w:r>
          </w:p>
        </w:tc>
      </w:tr>
      <w:tr w:rsidR="001A7144" w:rsidRPr="00CD062B" w14:paraId="0B38D082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CEA2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4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NCR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06A7" w14:textId="1DABA80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3,002,563.30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FA6D" w14:textId="3C179937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3,234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058F" w14:textId="6EA7AE3A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1,982,652.12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103F" w14:textId="406FA21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5,580,728.91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1DCC" w14:textId="7C626EC3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1,727,247.46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FDF0" w14:textId="6A7214DC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12,293,191.79 </w:t>
            </w:r>
          </w:p>
        </w:tc>
      </w:tr>
      <w:tr w:rsidR="001A7144" w:rsidRPr="00CD062B" w14:paraId="6BFCD60B" w14:textId="77777777" w:rsidTr="0055062E">
        <w:trPr>
          <w:trHeight w:val="20"/>
        </w:trPr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C96B" w14:textId="77777777" w:rsidR="001A7144" w:rsidRPr="00CD062B" w:rsidRDefault="001A7144" w:rsidP="001A7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hyperlink r:id="rId25" w:anchor="RANGE!A1" w:history="1">
              <w:r w:rsidRPr="00CD062B">
                <w:rPr>
                  <w:rFonts w:ascii="Arial Narrow" w:eastAsia="Times New Roman" w:hAnsi="Arial Narrow" w:cs="Arial"/>
                  <w:sz w:val="18"/>
                  <w:szCs w:val="18"/>
                </w:rPr>
                <w:t>CAR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DE92" w14:textId="50D87512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355.12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5291" w14:textId="313D1B4A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>24,794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9621C" w14:textId="29F3B010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14,546,030.00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B96A" w14:textId="0125497B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4,933,519.11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1144" w14:textId="27EB4842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19,841,721.89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3DFC" w14:textId="67F16689" w:rsidR="001A7144" w:rsidRPr="001A7144" w:rsidRDefault="001A7144" w:rsidP="001A71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1A71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39,321,626.12 </w:t>
            </w:r>
          </w:p>
        </w:tc>
      </w:tr>
    </w:tbl>
    <w:p w14:paraId="381CDAD4" w14:textId="4368E24B" w:rsidR="007809A8" w:rsidRPr="00CD6F18" w:rsidRDefault="007809A8" w:rsidP="00CD6F18">
      <w:pPr>
        <w:spacing w:after="0" w:line="240" w:lineRule="auto"/>
        <w:ind w:left="567" w:right="57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</w:t>
      </w:r>
      <w:r w:rsidR="00E14CEB">
        <w:rPr>
          <w:rFonts w:ascii="Arial" w:eastAsia="Arial" w:hAnsi="Arial" w:cs="Arial"/>
          <w:i/>
          <w:sz w:val="16"/>
          <w:szCs w:val="16"/>
        </w:rPr>
        <w:t xml:space="preserve">he Inventory Summary is as of </w:t>
      </w:r>
      <w:r w:rsidR="0025659D">
        <w:rPr>
          <w:rFonts w:ascii="Arial" w:eastAsia="Arial" w:hAnsi="Arial" w:cs="Arial"/>
          <w:i/>
          <w:sz w:val="16"/>
          <w:szCs w:val="16"/>
        </w:rPr>
        <w:t>01 November</w:t>
      </w:r>
      <w:r>
        <w:rPr>
          <w:rFonts w:ascii="Arial" w:eastAsia="Arial" w:hAnsi="Arial" w:cs="Arial"/>
          <w:i/>
          <w:sz w:val="16"/>
          <w:szCs w:val="16"/>
        </w:rPr>
        <w:t xml:space="preserve"> 2021, 4PM.</w:t>
      </w:r>
      <w:r w:rsidR="00CD6F18">
        <w:rPr>
          <w:rFonts w:ascii="Arial" w:eastAsia="Arial" w:hAnsi="Arial" w:cs="Arial"/>
          <w:i/>
          <w:sz w:val="16"/>
          <w:szCs w:val="16"/>
        </w:rPr>
        <w:t xml:space="preserve"> </w:t>
      </w:r>
      <w:r w:rsidRPr="00305E69">
        <w:rPr>
          <w:rFonts w:ascii="Arial" w:eastAsia="Arial" w:hAnsi="Arial" w:cs="Arial"/>
          <w:i/>
          <w:sz w:val="16"/>
          <w:szCs w:val="16"/>
        </w:rPr>
        <w:t>Replen</w:t>
      </w:r>
      <w:r w:rsidR="00AA6A1F">
        <w:rPr>
          <w:rFonts w:ascii="Arial" w:eastAsia="Arial" w:hAnsi="Arial" w:cs="Arial"/>
          <w:i/>
          <w:sz w:val="16"/>
          <w:szCs w:val="16"/>
        </w:rPr>
        <w:t>ishment of standby funds for FO</w:t>
      </w:r>
      <w:r w:rsidRPr="00305E69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XI </w:t>
      </w:r>
      <w:r w:rsidR="00E14CEB">
        <w:rPr>
          <w:rFonts w:ascii="Arial" w:eastAsia="Arial" w:hAnsi="Arial" w:cs="Arial"/>
          <w:i/>
          <w:sz w:val="16"/>
          <w:szCs w:val="16"/>
        </w:rPr>
        <w:t>is</w:t>
      </w:r>
      <w:r w:rsidRPr="00305E69">
        <w:rPr>
          <w:rFonts w:ascii="Arial" w:eastAsia="Arial" w:hAnsi="Arial" w:cs="Arial"/>
          <w:i/>
          <w:sz w:val="16"/>
          <w:szCs w:val="16"/>
        </w:rPr>
        <w:t xml:space="preserve"> being processed.</w:t>
      </w:r>
    </w:p>
    <w:p w14:paraId="58E87B66" w14:textId="77777777" w:rsidR="00CD6F18" w:rsidRDefault="00CD6F18" w:rsidP="007809A8">
      <w:pPr>
        <w:spacing w:after="0" w:line="240" w:lineRule="auto"/>
        <w:ind w:left="648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603CDC8" w14:textId="50AB5BAA" w:rsidR="007809A8" w:rsidRDefault="007809A8" w:rsidP="007809A8">
      <w:pPr>
        <w:spacing w:after="0" w:line="240" w:lineRule="auto"/>
        <w:ind w:left="648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Sources: DRMB and NRLMB</w:t>
      </w:r>
    </w:p>
    <w:p w14:paraId="5FEA1D41" w14:textId="77777777" w:rsidR="007809A8" w:rsidRDefault="007809A8" w:rsidP="007809A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650D34" w14:textId="5A9F161A" w:rsidR="007809A8" w:rsidRDefault="004E06B3" w:rsidP="007809A8">
      <w:pPr>
        <w:pStyle w:val="NoSpacing"/>
        <w:numPr>
          <w:ilvl w:val="0"/>
          <w:numId w:val="28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14:paraId="75B11B35" w14:textId="77777777" w:rsidR="007809A8" w:rsidRDefault="007809A8" w:rsidP="007809A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BBDC5D" w14:textId="145DA597" w:rsidR="007809A8" w:rsidRDefault="007809A8" w:rsidP="007809A8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DSWD-DRMB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809A8" w:rsidRPr="006B4BAB" w14:paraId="42AEBE37" w14:textId="77777777" w:rsidTr="00B00AC0">
        <w:trPr>
          <w:tblHeader/>
        </w:trPr>
        <w:tc>
          <w:tcPr>
            <w:tcW w:w="2025" w:type="dxa"/>
          </w:tcPr>
          <w:p w14:paraId="5501AE48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C87D979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809A8" w:rsidRPr="006B4BAB" w14:paraId="2CECFD4D" w14:textId="77777777" w:rsidTr="00B00AC0">
        <w:trPr>
          <w:tblHeader/>
        </w:trPr>
        <w:tc>
          <w:tcPr>
            <w:tcW w:w="2025" w:type="dxa"/>
          </w:tcPr>
          <w:p w14:paraId="44C413DB" w14:textId="031AD3E2" w:rsidR="007809A8" w:rsidRPr="004419DD" w:rsidRDefault="001A7144" w:rsidP="001A7144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01 November </w:t>
            </w:r>
            <w:r w:rsidR="007809A8"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2021</w:t>
            </w:r>
          </w:p>
        </w:tc>
        <w:tc>
          <w:tcPr>
            <w:tcW w:w="6907" w:type="dxa"/>
          </w:tcPr>
          <w:p w14:paraId="313A842A" w14:textId="065F75EF" w:rsidR="007809A8" w:rsidRPr="004419DD" w:rsidRDefault="007809A8" w:rsidP="007809A8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the DSWD-Field Offices for significant updates on disaster preparedness for response with regards to the observation of </w:t>
            </w:r>
            <w:r w:rsidR="001F0FAC"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>“UNDAS”</w:t>
            </w:r>
            <w:r w:rsidRPr="004419DD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2021.</w:t>
            </w:r>
          </w:p>
        </w:tc>
      </w:tr>
    </w:tbl>
    <w:p w14:paraId="16382CBA" w14:textId="75CA8025" w:rsidR="003B27F0" w:rsidRDefault="003B27F0" w:rsidP="007809A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2B2DF49" w14:textId="7D9E3006" w:rsidR="004419DD" w:rsidRDefault="004419DD" w:rsidP="004419D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419DD" w:rsidRPr="006B4BAB" w14:paraId="754D38BF" w14:textId="77777777" w:rsidTr="00AB2109">
        <w:trPr>
          <w:tblHeader/>
        </w:trPr>
        <w:tc>
          <w:tcPr>
            <w:tcW w:w="2025" w:type="dxa"/>
          </w:tcPr>
          <w:p w14:paraId="532CF751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F18CBBE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419DD" w:rsidRPr="00485E81" w14:paraId="2D8379EE" w14:textId="77777777" w:rsidTr="00AB2109">
        <w:trPr>
          <w:tblHeader/>
        </w:trPr>
        <w:tc>
          <w:tcPr>
            <w:tcW w:w="2025" w:type="dxa"/>
          </w:tcPr>
          <w:p w14:paraId="2E86F9FD" w14:textId="092AEC35" w:rsidR="004419DD" w:rsidRPr="00485E81" w:rsidRDefault="004419DD" w:rsidP="004419D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29 October 2021</w:t>
            </w:r>
          </w:p>
        </w:tc>
        <w:tc>
          <w:tcPr>
            <w:tcW w:w="6907" w:type="dxa"/>
          </w:tcPr>
          <w:p w14:paraId="03E7D6EE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DSWD-FO I is in close coordination with the Regional Disaster Risk Reduction and Management Council 1. Likewise, Provincial Operations Offices are in close coordination with the different Provincial/City/Municipal Disaster Risk Reduction and Management Councils and Provincial/City/Municipality Social Welfare and Development Offices to monitor and gather reports and updates regarding any eventualities that may occur.</w:t>
            </w:r>
          </w:p>
          <w:p w14:paraId="781089CD" w14:textId="0A9A9422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The Disaster Response Management Division (DRMD) staff and the Social Welfare and Development Team Leaders are on standby. Likewise, the Field Office ensures availability and readiness of resources.</w:t>
            </w:r>
          </w:p>
        </w:tc>
      </w:tr>
    </w:tbl>
    <w:p w14:paraId="75A998D9" w14:textId="16A2E6E2" w:rsidR="004419DD" w:rsidRPr="00485E81" w:rsidRDefault="004419DD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48122F" w14:textId="37F36C8B" w:rsidR="004419DD" w:rsidRPr="00485E81" w:rsidRDefault="004419DD" w:rsidP="004419D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85E81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85E81" w:rsidRPr="00485E81" w14:paraId="7216523B" w14:textId="77777777" w:rsidTr="004419DD">
        <w:tc>
          <w:tcPr>
            <w:tcW w:w="2025" w:type="dxa"/>
          </w:tcPr>
          <w:p w14:paraId="71EE4FBE" w14:textId="77777777" w:rsidR="004419DD" w:rsidRPr="00485E81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85E81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E760E7A" w14:textId="77777777" w:rsidR="004419DD" w:rsidRPr="00485E81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85E81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85E81" w:rsidRPr="00485E81" w14:paraId="05E23F84" w14:textId="77777777" w:rsidTr="004419DD">
        <w:tc>
          <w:tcPr>
            <w:tcW w:w="2025" w:type="dxa"/>
          </w:tcPr>
          <w:p w14:paraId="5D5DA18F" w14:textId="4E7E4AE4" w:rsidR="004419DD" w:rsidRPr="00485E81" w:rsidRDefault="004419DD" w:rsidP="004419D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29 October 2021</w:t>
            </w:r>
          </w:p>
        </w:tc>
        <w:tc>
          <w:tcPr>
            <w:tcW w:w="6907" w:type="dxa"/>
          </w:tcPr>
          <w:p w14:paraId="12EBB26F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 xml:space="preserve">DSWD FO-II ensured that the Regional DMRT, SWADTs, P/C/MATs are ON-CALL/STANDBY status and advised to coordinate with the Local Disaster Risk Reduction and Management Councils (LDRRMCs)/ Local Social Welfare and Development Officers (LSWDOs) if there are </w:t>
            </w:r>
            <w:r w:rsidRPr="00485E81">
              <w:rPr>
                <w:rFonts w:ascii="Arial" w:hAnsi="Arial" w:cs="Arial"/>
                <w:bCs/>
                <w:sz w:val="20"/>
                <w:szCs w:val="24"/>
              </w:rPr>
              <w:lastRenderedPageBreak/>
              <w:t xml:space="preserve">concerns needed to be addressed by the Field Office (FO) during the observance of UNDAS 2021. </w:t>
            </w:r>
          </w:p>
          <w:p w14:paraId="1E0A22B5" w14:textId="179D91B6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FO-II ensured the availability of Food and Non-Food Items (FNIs);</w:t>
            </w:r>
          </w:p>
        </w:tc>
      </w:tr>
    </w:tbl>
    <w:p w14:paraId="028020A1" w14:textId="2EB85065" w:rsidR="004419DD" w:rsidRDefault="004419DD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CAC805" w14:textId="77777777" w:rsidR="004419DD" w:rsidRDefault="004419DD" w:rsidP="004419D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419DD" w:rsidRPr="006B4BAB" w14:paraId="498C0CDE" w14:textId="77777777" w:rsidTr="00AB2109">
        <w:trPr>
          <w:tblHeader/>
        </w:trPr>
        <w:tc>
          <w:tcPr>
            <w:tcW w:w="2025" w:type="dxa"/>
          </w:tcPr>
          <w:p w14:paraId="1F683751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C1EED8C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419DD" w:rsidRPr="006B4BAB" w14:paraId="18BEAC9E" w14:textId="77777777" w:rsidTr="00AB2109">
        <w:trPr>
          <w:tblHeader/>
        </w:trPr>
        <w:tc>
          <w:tcPr>
            <w:tcW w:w="2025" w:type="dxa"/>
          </w:tcPr>
          <w:p w14:paraId="1CD687FA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29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6D2B47CD" w14:textId="77777777" w:rsidR="004419DD" w:rsidRDefault="004419DD" w:rsidP="00AB210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FO-CALABARZON attended meetings with different agencies on the response cluster relative to the adherence of health and safety protocols in the observance of “UNDAS” 2021.</w:t>
            </w:r>
          </w:p>
          <w:p w14:paraId="306E7657" w14:textId="77777777" w:rsidR="004419DD" w:rsidRPr="001F0FAC" w:rsidRDefault="004419DD" w:rsidP="00AB2109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FO-CALABARZON Emergency Operations Center remains on heightened alert status to monitor the situation relative to the observance of “UNDAS”.</w:t>
            </w:r>
          </w:p>
        </w:tc>
      </w:tr>
    </w:tbl>
    <w:p w14:paraId="2CB8FCBF" w14:textId="05BFF567" w:rsidR="004419DD" w:rsidRDefault="004419DD" w:rsidP="004419D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5D86C3" w14:textId="1235821B" w:rsidR="003B27F0" w:rsidRDefault="003B27F0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4419DD"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B27F0" w:rsidRPr="006B4BAB" w14:paraId="41D1A06B" w14:textId="77777777" w:rsidTr="00B00AC0">
        <w:trPr>
          <w:tblHeader/>
        </w:trPr>
        <w:tc>
          <w:tcPr>
            <w:tcW w:w="2025" w:type="dxa"/>
          </w:tcPr>
          <w:p w14:paraId="2407C6E6" w14:textId="77777777" w:rsidR="003B27F0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9663A26" w14:textId="77777777" w:rsidR="003B27F0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B27F0" w:rsidRPr="006B4BAB" w14:paraId="0774CF54" w14:textId="77777777" w:rsidTr="00B00AC0">
        <w:trPr>
          <w:tblHeader/>
        </w:trPr>
        <w:tc>
          <w:tcPr>
            <w:tcW w:w="2025" w:type="dxa"/>
          </w:tcPr>
          <w:p w14:paraId="2203EFD5" w14:textId="5B5C08DE" w:rsidR="003B27F0" w:rsidRPr="00485E81" w:rsidRDefault="004419DD" w:rsidP="004419D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 xml:space="preserve">29 </w:t>
            </w:r>
            <w:r w:rsidR="003B27F0" w:rsidRPr="00485E81">
              <w:rPr>
                <w:rFonts w:ascii="Arial" w:hAnsi="Arial" w:cs="Arial"/>
                <w:bCs/>
                <w:sz w:val="20"/>
                <w:szCs w:val="24"/>
              </w:rPr>
              <w:t>October 2021</w:t>
            </w:r>
          </w:p>
        </w:tc>
        <w:tc>
          <w:tcPr>
            <w:tcW w:w="6907" w:type="dxa"/>
          </w:tcPr>
          <w:p w14:paraId="5634C431" w14:textId="77777777" w:rsidR="004419DD" w:rsidRPr="00485E81" w:rsidRDefault="002927AA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</w:t>
            </w:r>
            <w:r w:rsidR="004419DD" w:rsidRPr="00485E81">
              <w:rPr>
                <w:rFonts w:ascii="Arial" w:hAnsi="Arial" w:cs="Arial"/>
                <w:bCs/>
                <w:sz w:val="20"/>
                <w:szCs w:val="24"/>
              </w:rPr>
              <w:t>MIMAROPA</w:t>
            </w:r>
            <w:r w:rsidRPr="00485E81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4419DD" w:rsidRPr="00485E81">
              <w:rPr>
                <w:rFonts w:ascii="Arial" w:hAnsi="Arial" w:cs="Arial"/>
                <w:bCs/>
                <w:sz w:val="20"/>
                <w:szCs w:val="24"/>
              </w:rPr>
              <w:t>ensure SWADT Offices are alerted to monitor daily local weather conditions, related eventualities, bulletins, warnings, and other advisories issued by the DOST-PAGASA, DENR-MGB, and other surveillance agencies.</w:t>
            </w:r>
          </w:p>
          <w:p w14:paraId="682111F4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FO-MIMAROPA ensure provision of information to all concerned offices, divisions, sections, and units and on-call status of the expanded R/P/C/M QRTs together with special projects staff on a 24/7 basis possible activation of Virtual and Regional Emergency Operation Center and augmentation to respond in case any untoward incident and eventualities are reported.</w:t>
            </w:r>
          </w:p>
          <w:p w14:paraId="13EA55F9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FO-MIMAROPA is in close coordination with the Office of Civil Defense (OCD) and RDRRMC MIMAROPA for any updates for monitoring purposes and response mechanism for areas that will be affected.</w:t>
            </w:r>
          </w:p>
          <w:p w14:paraId="147F69AD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Standby logistical equipment and workforce through coordination with SWADT Offices and concerned LGUs on the management of stranded passengers, if any, in ports and terminals.</w:t>
            </w:r>
          </w:p>
          <w:p w14:paraId="26E1B11B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FO-MIMAROPA ensures that there is an on-call truck/s and disaster vehicle/s available for delivery of goods and possible deployment of Regional staff for augmentation support to areas that will be affected.</w:t>
            </w:r>
          </w:p>
          <w:p w14:paraId="0C147262" w14:textId="66CAA28A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Information and Communication Technology Management Unit (ICTMU) is on standby status to ensure a robust communication system.</w:t>
            </w:r>
          </w:p>
        </w:tc>
      </w:tr>
    </w:tbl>
    <w:p w14:paraId="2742860F" w14:textId="77777777" w:rsidR="003B27F0" w:rsidRPr="007809A8" w:rsidRDefault="003B27F0" w:rsidP="003B27F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8782D74" w14:textId="26E40AA2" w:rsidR="007809A8" w:rsidRDefault="007809A8" w:rsidP="007809A8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</w:t>
      </w:r>
      <w:r w:rsidR="009B1C3E">
        <w:rPr>
          <w:rFonts w:ascii="Arial" w:hAnsi="Arial" w:cs="Arial"/>
          <w:b/>
          <w:sz w:val="24"/>
          <w:szCs w:val="24"/>
        </w:rPr>
        <w:t xml:space="preserve">FO </w:t>
      </w:r>
      <w:r w:rsidR="003B27F0"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809A8" w:rsidRPr="006B4BAB" w14:paraId="26055D3A" w14:textId="77777777" w:rsidTr="00B00AC0">
        <w:trPr>
          <w:tblHeader/>
        </w:trPr>
        <w:tc>
          <w:tcPr>
            <w:tcW w:w="2025" w:type="dxa"/>
          </w:tcPr>
          <w:p w14:paraId="05746D0C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E8817C9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809A8" w:rsidRPr="006B4BAB" w14:paraId="4862E83E" w14:textId="77777777" w:rsidTr="00B00AC0">
        <w:trPr>
          <w:tblHeader/>
        </w:trPr>
        <w:tc>
          <w:tcPr>
            <w:tcW w:w="2025" w:type="dxa"/>
          </w:tcPr>
          <w:p w14:paraId="36D6406E" w14:textId="1AFE7FBF" w:rsidR="007809A8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26</w:t>
            </w:r>
            <w:r w:rsidR="007809A8"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D1B7A83" w14:textId="64E12B13" w:rsidR="007809A8" w:rsidRDefault="001F0FAC" w:rsidP="001F0FAC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FO-VI coordinated 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>with the LGU</w:t>
            </w:r>
            <w:r>
              <w:rPr>
                <w:rFonts w:ascii="Arial" w:hAnsi="Arial" w:cs="Arial"/>
                <w:bCs/>
                <w:sz w:val="20"/>
                <w:szCs w:val="24"/>
              </w:rPr>
              <w:t>s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and of other agencies,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also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deployed staff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to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ensure the strict implementation of minimum pub</w:t>
            </w:r>
            <w:r>
              <w:rPr>
                <w:rFonts w:ascii="Arial" w:hAnsi="Arial" w:cs="Arial"/>
                <w:bCs/>
                <w:sz w:val="20"/>
                <w:szCs w:val="24"/>
              </w:rPr>
              <w:t>lic health and safety protocols in the observance of “UNDAS” 2021.</w:t>
            </w:r>
          </w:p>
          <w:p w14:paraId="547284F1" w14:textId="3C595ADB" w:rsidR="001F0FAC" w:rsidRPr="004419DD" w:rsidRDefault="001F0FAC" w:rsidP="004419DD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FO-VI continues to monitor and disseminate real time weather reports and/or updates thru their official Facebook page.</w:t>
            </w:r>
          </w:p>
        </w:tc>
      </w:tr>
    </w:tbl>
    <w:p w14:paraId="722359E4" w14:textId="530D159A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029335" w14:textId="39B92415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AA010A" w14:textId="0F4FBC53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F864B1" w14:textId="79EE6820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1D9447" w14:textId="78D42E1A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F98CE2" w14:textId="6AFA7B53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5A1790" w14:textId="3034AEB9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1FC9CB" w14:textId="77777777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6E54DDE" w14:textId="42EE1B74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85E81" w:rsidRPr="006B4BAB" w14:paraId="4D1E3956" w14:textId="77777777" w:rsidTr="004817D9">
        <w:trPr>
          <w:tblHeader/>
        </w:trPr>
        <w:tc>
          <w:tcPr>
            <w:tcW w:w="2025" w:type="dxa"/>
          </w:tcPr>
          <w:p w14:paraId="75E8EF9F" w14:textId="77777777" w:rsidR="00485E81" w:rsidRPr="006B4BAB" w:rsidRDefault="00485E81" w:rsidP="004817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43DACE3" w14:textId="77777777" w:rsidR="00485E81" w:rsidRPr="006B4BAB" w:rsidRDefault="00485E81" w:rsidP="004817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85E81" w:rsidRPr="006B4BAB" w14:paraId="28BF4005" w14:textId="77777777" w:rsidTr="004817D9">
        <w:trPr>
          <w:tblHeader/>
        </w:trPr>
        <w:tc>
          <w:tcPr>
            <w:tcW w:w="2025" w:type="dxa"/>
          </w:tcPr>
          <w:p w14:paraId="1B8A6CEA" w14:textId="6B679AFD" w:rsidR="00485E81" w:rsidRPr="008E1910" w:rsidRDefault="00485E81" w:rsidP="00485E81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8E1910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 01 November 2021</w:t>
            </w:r>
          </w:p>
        </w:tc>
        <w:tc>
          <w:tcPr>
            <w:tcW w:w="6907" w:type="dxa"/>
          </w:tcPr>
          <w:p w14:paraId="28810A3A" w14:textId="3B2B5FFF" w:rsidR="00485E81" w:rsidRPr="008E1910" w:rsidRDefault="00485E81" w:rsidP="00485E81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8E1910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DSWD FO-CAR personnel rendered duty to monitor areas of responsibility relative to the observance of “UNDAS” 2021.</w:t>
            </w:r>
          </w:p>
          <w:p w14:paraId="34F77161" w14:textId="0713F142" w:rsidR="00485E81" w:rsidRPr="008E1910" w:rsidRDefault="00485E81" w:rsidP="00485E81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8E1910">
              <w:rPr>
                <w:rFonts w:ascii="Arial" w:hAnsi="Arial" w:cs="Arial"/>
                <w:bCs/>
                <w:color w:val="0070C0"/>
                <w:sz w:val="20"/>
                <w:szCs w:val="24"/>
              </w:rPr>
              <w:t>DSWD FO-CAR coordinated with PAT Offices and focal persons relative to the observance of “UNDAS” 2021.</w:t>
            </w:r>
          </w:p>
          <w:p w14:paraId="797215E7" w14:textId="133EEBCE" w:rsidR="00485E81" w:rsidRPr="008E1910" w:rsidRDefault="00485E81" w:rsidP="00DE6D1D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color w:val="0070C0"/>
                <w:sz w:val="20"/>
                <w:szCs w:val="24"/>
              </w:rPr>
            </w:pPr>
            <w:r w:rsidRPr="008E1910">
              <w:rPr>
                <w:rFonts w:ascii="Arial" w:hAnsi="Arial" w:cs="Arial"/>
                <w:bCs/>
                <w:color w:val="0070C0"/>
                <w:sz w:val="20"/>
                <w:szCs w:val="24"/>
              </w:rPr>
              <w:t xml:space="preserve">DSWD FO-CAR crafted, consolidated, and submitted </w:t>
            </w:r>
            <w:r w:rsidR="00DE6D1D" w:rsidRPr="008E1910">
              <w:rPr>
                <w:rFonts w:ascii="Arial" w:hAnsi="Arial" w:cs="Arial"/>
                <w:bCs/>
                <w:color w:val="0070C0"/>
                <w:sz w:val="20"/>
                <w:szCs w:val="24"/>
              </w:rPr>
              <w:t>reports to end-users</w:t>
            </w:r>
          </w:p>
        </w:tc>
      </w:tr>
    </w:tbl>
    <w:p w14:paraId="07F1DFBF" w14:textId="77777777" w:rsidR="007809A8" w:rsidRDefault="007809A8" w:rsidP="0078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FA311" w14:textId="3FFA8D7E" w:rsidR="00C122AF" w:rsidRPr="00C122AF" w:rsidRDefault="00C122AF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252B863B" w:rsidR="00F96CAA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1C95A1B" w14:textId="188996FD" w:rsidR="00C122AF" w:rsidRDefault="00C122AF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72396E" w14:textId="598308D6" w:rsidR="00485E81" w:rsidRPr="00485E81" w:rsidRDefault="00485E81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6133E948" w:rsidR="00A03B4C" w:rsidRPr="00FE7C33" w:rsidRDefault="00A03B4C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D18F09B" w:rsidR="007F2E58" w:rsidRPr="00FE7C33" w:rsidRDefault="004419DD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9DD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FE7C33" w:rsidRDefault="007F2E58" w:rsidP="00284B1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26"/>
      <w:footerReference w:type="default" r:id="rId27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6FE24" w14:textId="77777777" w:rsidR="006C186D" w:rsidRDefault="006C186D" w:rsidP="00C12445">
      <w:pPr>
        <w:spacing w:after="0" w:line="240" w:lineRule="auto"/>
      </w:pPr>
      <w:r>
        <w:separator/>
      </w:r>
    </w:p>
  </w:endnote>
  <w:endnote w:type="continuationSeparator" w:id="0">
    <w:p w14:paraId="45E0B79C" w14:textId="77777777" w:rsidR="006C186D" w:rsidRDefault="006C186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D32B1A" w:rsidRPr="00905CC2" w:rsidRDefault="00D32B1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B046238" w:rsidR="00D32B1A" w:rsidRPr="00CB6F4E" w:rsidRDefault="00D32B1A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</w:t>
            </w:r>
            <w:r w:rsidR="00E14CEB">
              <w:rPr>
                <w:sz w:val="16"/>
                <w:szCs w:val="20"/>
              </w:rPr>
              <w:t>Pr</w:t>
            </w:r>
            <w:r w:rsidR="0025659D">
              <w:rPr>
                <w:sz w:val="16"/>
                <w:szCs w:val="20"/>
              </w:rPr>
              <w:t>eparedness for Response Report#3</w:t>
            </w:r>
            <w:r w:rsidR="00E14CEB">
              <w:rPr>
                <w:sz w:val="16"/>
                <w:szCs w:val="20"/>
              </w:rPr>
              <w:t xml:space="preserve"> on the Observance of </w:t>
            </w:r>
            <w:proofErr w:type="spellStart"/>
            <w:r w:rsidR="00E14CEB">
              <w:rPr>
                <w:sz w:val="16"/>
                <w:szCs w:val="20"/>
              </w:rPr>
              <w:t>Undas</w:t>
            </w:r>
            <w:proofErr w:type="spellEnd"/>
            <w:r w:rsidR="00E14CEB">
              <w:rPr>
                <w:sz w:val="16"/>
                <w:szCs w:val="20"/>
              </w:rPr>
              <w:t xml:space="preserve"> 2021 </w:t>
            </w:r>
            <w:r w:rsidR="0025659D">
              <w:rPr>
                <w:sz w:val="16"/>
                <w:szCs w:val="20"/>
              </w:rPr>
              <w:t>as of 01</w:t>
            </w:r>
            <w:r>
              <w:rPr>
                <w:sz w:val="16"/>
                <w:szCs w:val="20"/>
              </w:rPr>
              <w:t xml:space="preserve"> </w:t>
            </w:r>
            <w:r w:rsidR="0025659D">
              <w:rPr>
                <w:sz w:val="16"/>
                <w:szCs w:val="20"/>
              </w:rPr>
              <w:t>November</w:t>
            </w:r>
            <w:r>
              <w:rPr>
                <w:sz w:val="16"/>
                <w:szCs w:val="20"/>
              </w:rPr>
              <w:t xml:space="preserve">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A7144">
              <w:rPr>
                <w:b/>
                <w:bCs/>
                <w:noProof/>
                <w:sz w:val="16"/>
                <w:szCs w:val="20"/>
              </w:rPr>
              <w:t>2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A7144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C4E20" w14:textId="77777777" w:rsidR="006C186D" w:rsidRDefault="006C186D" w:rsidP="00C12445">
      <w:pPr>
        <w:spacing w:after="0" w:line="240" w:lineRule="auto"/>
      </w:pPr>
      <w:r>
        <w:separator/>
      </w:r>
    </w:p>
  </w:footnote>
  <w:footnote w:type="continuationSeparator" w:id="0">
    <w:p w14:paraId="14261521" w14:textId="77777777" w:rsidR="006C186D" w:rsidRDefault="006C186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D32B1A" w:rsidRDefault="00D32B1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D32B1A" w:rsidRDefault="00D32B1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D32B1A" w:rsidRDefault="00D32B1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D32B1A" w:rsidRDefault="00D32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5B"/>
    <w:multiLevelType w:val="hybridMultilevel"/>
    <w:tmpl w:val="4D4CB81E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83916"/>
    <w:multiLevelType w:val="hybridMultilevel"/>
    <w:tmpl w:val="FE046480"/>
    <w:lvl w:ilvl="0" w:tplc="F2C044DC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67E1"/>
    <w:multiLevelType w:val="hybridMultilevel"/>
    <w:tmpl w:val="F650151A"/>
    <w:lvl w:ilvl="0" w:tplc="2C983926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D1BC8"/>
    <w:multiLevelType w:val="hybridMultilevel"/>
    <w:tmpl w:val="AD041E7C"/>
    <w:lvl w:ilvl="0" w:tplc="3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80385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B4DDD"/>
    <w:multiLevelType w:val="multilevel"/>
    <w:tmpl w:val="C4C686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363C8B"/>
    <w:multiLevelType w:val="hybridMultilevel"/>
    <w:tmpl w:val="71D207D6"/>
    <w:lvl w:ilvl="0" w:tplc="75F4A5AE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1"/>
  </w:num>
  <w:num w:numId="5">
    <w:abstractNumId w:val="3"/>
  </w:num>
  <w:num w:numId="6">
    <w:abstractNumId w:val="10"/>
  </w:num>
  <w:num w:numId="7">
    <w:abstractNumId w:val="30"/>
  </w:num>
  <w:num w:numId="8">
    <w:abstractNumId w:val="1"/>
  </w:num>
  <w:num w:numId="9">
    <w:abstractNumId w:val="16"/>
  </w:num>
  <w:num w:numId="10">
    <w:abstractNumId w:val="18"/>
  </w:num>
  <w:num w:numId="11">
    <w:abstractNumId w:val="26"/>
  </w:num>
  <w:num w:numId="12">
    <w:abstractNumId w:val="19"/>
  </w:num>
  <w:num w:numId="13">
    <w:abstractNumId w:val="22"/>
  </w:num>
  <w:num w:numId="14">
    <w:abstractNumId w:val="24"/>
  </w:num>
  <w:num w:numId="15">
    <w:abstractNumId w:val="20"/>
  </w:num>
  <w:num w:numId="16">
    <w:abstractNumId w:val="5"/>
  </w:num>
  <w:num w:numId="17">
    <w:abstractNumId w:val="7"/>
  </w:num>
  <w:num w:numId="18">
    <w:abstractNumId w:val="29"/>
  </w:num>
  <w:num w:numId="19">
    <w:abstractNumId w:val="27"/>
  </w:num>
  <w:num w:numId="20">
    <w:abstractNumId w:val="12"/>
  </w:num>
  <w:num w:numId="21">
    <w:abstractNumId w:val="8"/>
  </w:num>
  <w:num w:numId="22">
    <w:abstractNumId w:val="9"/>
  </w:num>
  <w:num w:numId="23">
    <w:abstractNumId w:val="23"/>
  </w:num>
  <w:num w:numId="24">
    <w:abstractNumId w:val="11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4"/>
  </w:num>
  <w:num w:numId="30">
    <w:abstractNumId w:val="25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5289"/>
    <w:rsid w:val="00047727"/>
    <w:rsid w:val="000523F6"/>
    <w:rsid w:val="00052F0B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0B0"/>
    <w:rsid w:val="000814E2"/>
    <w:rsid w:val="00081953"/>
    <w:rsid w:val="00081B1F"/>
    <w:rsid w:val="000823FB"/>
    <w:rsid w:val="00082BEC"/>
    <w:rsid w:val="00083B22"/>
    <w:rsid w:val="0008449C"/>
    <w:rsid w:val="00085D69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3014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05FBC"/>
    <w:rsid w:val="00112FC8"/>
    <w:rsid w:val="00114A52"/>
    <w:rsid w:val="00115B8C"/>
    <w:rsid w:val="00116523"/>
    <w:rsid w:val="0011703D"/>
    <w:rsid w:val="00121396"/>
    <w:rsid w:val="001220F8"/>
    <w:rsid w:val="001222C5"/>
    <w:rsid w:val="00122464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6CF"/>
    <w:rsid w:val="00165CBC"/>
    <w:rsid w:val="00167B25"/>
    <w:rsid w:val="001709B0"/>
    <w:rsid w:val="00173C4B"/>
    <w:rsid w:val="00174B8B"/>
    <w:rsid w:val="00175FBE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0906"/>
    <w:rsid w:val="00191C74"/>
    <w:rsid w:val="001942B0"/>
    <w:rsid w:val="00195411"/>
    <w:rsid w:val="00196C23"/>
    <w:rsid w:val="00197CAB"/>
    <w:rsid w:val="00197FA6"/>
    <w:rsid w:val="001A00F7"/>
    <w:rsid w:val="001A030C"/>
    <w:rsid w:val="001A1677"/>
    <w:rsid w:val="001A2814"/>
    <w:rsid w:val="001A3CF2"/>
    <w:rsid w:val="001A5700"/>
    <w:rsid w:val="001A6A2F"/>
    <w:rsid w:val="001A7144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0FAC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CAD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659D"/>
    <w:rsid w:val="00256F6E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69EF"/>
    <w:rsid w:val="00277FAD"/>
    <w:rsid w:val="00280D58"/>
    <w:rsid w:val="00281BA5"/>
    <w:rsid w:val="002825BE"/>
    <w:rsid w:val="002836CA"/>
    <w:rsid w:val="0028413B"/>
    <w:rsid w:val="00284B12"/>
    <w:rsid w:val="00285162"/>
    <w:rsid w:val="002865A7"/>
    <w:rsid w:val="0028707A"/>
    <w:rsid w:val="00287DE7"/>
    <w:rsid w:val="002927AA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0465"/>
    <w:rsid w:val="002B1691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62F8"/>
    <w:rsid w:val="002E7277"/>
    <w:rsid w:val="002E760C"/>
    <w:rsid w:val="002E76DA"/>
    <w:rsid w:val="002E7A38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7C6"/>
    <w:rsid w:val="0032420F"/>
    <w:rsid w:val="00325351"/>
    <w:rsid w:val="00325BDD"/>
    <w:rsid w:val="00327113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0B2C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0A2D"/>
    <w:rsid w:val="00381765"/>
    <w:rsid w:val="00381DC7"/>
    <w:rsid w:val="00382598"/>
    <w:rsid w:val="003832FB"/>
    <w:rsid w:val="00384881"/>
    <w:rsid w:val="0038613A"/>
    <w:rsid w:val="00387A68"/>
    <w:rsid w:val="00387B86"/>
    <w:rsid w:val="00387CB3"/>
    <w:rsid w:val="003916D5"/>
    <w:rsid w:val="00392CC3"/>
    <w:rsid w:val="00394E19"/>
    <w:rsid w:val="003978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27F0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4BDA"/>
    <w:rsid w:val="003D5188"/>
    <w:rsid w:val="003D7C5F"/>
    <w:rsid w:val="003E3D36"/>
    <w:rsid w:val="003E5113"/>
    <w:rsid w:val="003E79B6"/>
    <w:rsid w:val="003E7D52"/>
    <w:rsid w:val="003F1BF2"/>
    <w:rsid w:val="003F25F0"/>
    <w:rsid w:val="003F2FED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19DD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210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25E1"/>
    <w:rsid w:val="00472ADC"/>
    <w:rsid w:val="00473876"/>
    <w:rsid w:val="00474258"/>
    <w:rsid w:val="0048020A"/>
    <w:rsid w:val="00482EA3"/>
    <w:rsid w:val="00484CF9"/>
    <w:rsid w:val="00485021"/>
    <w:rsid w:val="00485E8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157C"/>
    <w:rsid w:val="004A58B1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6B3"/>
    <w:rsid w:val="004E0B17"/>
    <w:rsid w:val="004E1C60"/>
    <w:rsid w:val="004E30B8"/>
    <w:rsid w:val="004E4F22"/>
    <w:rsid w:val="004E63E3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543D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062E"/>
    <w:rsid w:val="00551AF6"/>
    <w:rsid w:val="005525BC"/>
    <w:rsid w:val="00555771"/>
    <w:rsid w:val="00556340"/>
    <w:rsid w:val="00556A07"/>
    <w:rsid w:val="00556A30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2208"/>
    <w:rsid w:val="0058442C"/>
    <w:rsid w:val="00584C3C"/>
    <w:rsid w:val="005862BC"/>
    <w:rsid w:val="005928D0"/>
    <w:rsid w:val="00593841"/>
    <w:rsid w:val="0059395E"/>
    <w:rsid w:val="00593E54"/>
    <w:rsid w:val="0059407D"/>
    <w:rsid w:val="005964A6"/>
    <w:rsid w:val="0059671E"/>
    <w:rsid w:val="00597F5C"/>
    <w:rsid w:val="005A1A7D"/>
    <w:rsid w:val="005A242E"/>
    <w:rsid w:val="005A4529"/>
    <w:rsid w:val="005A5962"/>
    <w:rsid w:val="005A72F2"/>
    <w:rsid w:val="005B218F"/>
    <w:rsid w:val="005B2DC1"/>
    <w:rsid w:val="005B2EF0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784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29B1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4761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3FA7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186D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03E5"/>
    <w:rsid w:val="007206EC"/>
    <w:rsid w:val="0072102F"/>
    <w:rsid w:val="00724C56"/>
    <w:rsid w:val="00724E89"/>
    <w:rsid w:val="00724F28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91D"/>
    <w:rsid w:val="00772EDE"/>
    <w:rsid w:val="00772FC3"/>
    <w:rsid w:val="00774752"/>
    <w:rsid w:val="00776B3E"/>
    <w:rsid w:val="00780417"/>
    <w:rsid w:val="007809A8"/>
    <w:rsid w:val="00781118"/>
    <w:rsid w:val="007813C1"/>
    <w:rsid w:val="007820C2"/>
    <w:rsid w:val="00782941"/>
    <w:rsid w:val="0078569D"/>
    <w:rsid w:val="00785BAD"/>
    <w:rsid w:val="00791790"/>
    <w:rsid w:val="00791EBD"/>
    <w:rsid w:val="00793475"/>
    <w:rsid w:val="007945C1"/>
    <w:rsid w:val="0079581D"/>
    <w:rsid w:val="007965E7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6329"/>
    <w:rsid w:val="00812F7A"/>
    <w:rsid w:val="00813257"/>
    <w:rsid w:val="008136AC"/>
    <w:rsid w:val="008153ED"/>
    <w:rsid w:val="00820D42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599"/>
    <w:rsid w:val="008406C4"/>
    <w:rsid w:val="00842466"/>
    <w:rsid w:val="00843A9D"/>
    <w:rsid w:val="00844A6E"/>
    <w:rsid w:val="00847EB9"/>
    <w:rsid w:val="00850427"/>
    <w:rsid w:val="00850FF0"/>
    <w:rsid w:val="008530A8"/>
    <w:rsid w:val="008542F8"/>
    <w:rsid w:val="00855400"/>
    <w:rsid w:val="0085601D"/>
    <w:rsid w:val="00856769"/>
    <w:rsid w:val="00862430"/>
    <w:rsid w:val="008643E4"/>
    <w:rsid w:val="00864D10"/>
    <w:rsid w:val="0086788B"/>
    <w:rsid w:val="00870CB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10"/>
    <w:rsid w:val="008E19A6"/>
    <w:rsid w:val="008E1C00"/>
    <w:rsid w:val="008E2670"/>
    <w:rsid w:val="008E2862"/>
    <w:rsid w:val="008E298E"/>
    <w:rsid w:val="008E649B"/>
    <w:rsid w:val="008E71AA"/>
    <w:rsid w:val="008E76A0"/>
    <w:rsid w:val="008F0B72"/>
    <w:rsid w:val="008F1954"/>
    <w:rsid w:val="008F2465"/>
    <w:rsid w:val="008F3CA0"/>
    <w:rsid w:val="008F561A"/>
    <w:rsid w:val="008F575A"/>
    <w:rsid w:val="008F6633"/>
    <w:rsid w:val="008F6E9B"/>
    <w:rsid w:val="00900B1C"/>
    <w:rsid w:val="0090112B"/>
    <w:rsid w:val="009022F0"/>
    <w:rsid w:val="00903749"/>
    <w:rsid w:val="0090385E"/>
    <w:rsid w:val="009045BC"/>
    <w:rsid w:val="00904AD8"/>
    <w:rsid w:val="00905CC2"/>
    <w:rsid w:val="009063CE"/>
    <w:rsid w:val="00907745"/>
    <w:rsid w:val="00911570"/>
    <w:rsid w:val="00911FA7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3704"/>
    <w:rsid w:val="00994BAA"/>
    <w:rsid w:val="0099537C"/>
    <w:rsid w:val="0099552F"/>
    <w:rsid w:val="009960C3"/>
    <w:rsid w:val="009966F3"/>
    <w:rsid w:val="009977DF"/>
    <w:rsid w:val="009A0914"/>
    <w:rsid w:val="009A1611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3E"/>
    <w:rsid w:val="009B1CA1"/>
    <w:rsid w:val="009B3B07"/>
    <w:rsid w:val="009B521C"/>
    <w:rsid w:val="009B6CBE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433"/>
    <w:rsid w:val="009E0C40"/>
    <w:rsid w:val="009E102B"/>
    <w:rsid w:val="009E18F8"/>
    <w:rsid w:val="009E1AB2"/>
    <w:rsid w:val="009E349D"/>
    <w:rsid w:val="009E4FA8"/>
    <w:rsid w:val="009E5D76"/>
    <w:rsid w:val="009E6944"/>
    <w:rsid w:val="009E6C55"/>
    <w:rsid w:val="009E756C"/>
    <w:rsid w:val="009E77BB"/>
    <w:rsid w:val="009F16E3"/>
    <w:rsid w:val="009F1788"/>
    <w:rsid w:val="009F26CC"/>
    <w:rsid w:val="009F26F2"/>
    <w:rsid w:val="009F34F8"/>
    <w:rsid w:val="009F40A6"/>
    <w:rsid w:val="009F459A"/>
    <w:rsid w:val="009F6005"/>
    <w:rsid w:val="00A01869"/>
    <w:rsid w:val="00A03B4C"/>
    <w:rsid w:val="00A049F2"/>
    <w:rsid w:val="00A06F34"/>
    <w:rsid w:val="00A105E0"/>
    <w:rsid w:val="00A12B08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38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3E5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A6A1F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089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F0103"/>
    <w:rsid w:val="00AF0DFF"/>
    <w:rsid w:val="00AF179A"/>
    <w:rsid w:val="00AF196E"/>
    <w:rsid w:val="00AF1AB0"/>
    <w:rsid w:val="00AF292C"/>
    <w:rsid w:val="00AF2E69"/>
    <w:rsid w:val="00AF391D"/>
    <w:rsid w:val="00AF51F9"/>
    <w:rsid w:val="00AF59D9"/>
    <w:rsid w:val="00AF6966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35D6"/>
    <w:rsid w:val="00B854AF"/>
    <w:rsid w:val="00B862F9"/>
    <w:rsid w:val="00B90DAD"/>
    <w:rsid w:val="00B91234"/>
    <w:rsid w:val="00B9261A"/>
    <w:rsid w:val="00B92E7B"/>
    <w:rsid w:val="00B93569"/>
    <w:rsid w:val="00B9480B"/>
    <w:rsid w:val="00B961AA"/>
    <w:rsid w:val="00BA03D5"/>
    <w:rsid w:val="00BA1D02"/>
    <w:rsid w:val="00BA40A3"/>
    <w:rsid w:val="00BA78EE"/>
    <w:rsid w:val="00BB0528"/>
    <w:rsid w:val="00BB11C7"/>
    <w:rsid w:val="00BB3405"/>
    <w:rsid w:val="00BB4645"/>
    <w:rsid w:val="00BB4E63"/>
    <w:rsid w:val="00BB759D"/>
    <w:rsid w:val="00BB7FD4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2AF"/>
    <w:rsid w:val="00C12445"/>
    <w:rsid w:val="00C13003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2F7"/>
    <w:rsid w:val="00C75B80"/>
    <w:rsid w:val="00C75DD2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2600"/>
    <w:rsid w:val="00CD4312"/>
    <w:rsid w:val="00CD6F18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29C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23C03"/>
    <w:rsid w:val="00D32B1A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3A8"/>
    <w:rsid w:val="00D70932"/>
    <w:rsid w:val="00D70AB5"/>
    <w:rsid w:val="00D70E4F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136"/>
    <w:rsid w:val="00D874BA"/>
    <w:rsid w:val="00D87BED"/>
    <w:rsid w:val="00D90CBD"/>
    <w:rsid w:val="00D9179D"/>
    <w:rsid w:val="00D92599"/>
    <w:rsid w:val="00D93B6A"/>
    <w:rsid w:val="00D9531E"/>
    <w:rsid w:val="00DA2693"/>
    <w:rsid w:val="00DA54C7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B60F7"/>
    <w:rsid w:val="00DC1285"/>
    <w:rsid w:val="00DC262C"/>
    <w:rsid w:val="00DC2700"/>
    <w:rsid w:val="00DC3966"/>
    <w:rsid w:val="00DC452B"/>
    <w:rsid w:val="00DC4B3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E6D1D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14CEB"/>
    <w:rsid w:val="00E23200"/>
    <w:rsid w:val="00E24BC3"/>
    <w:rsid w:val="00E26E07"/>
    <w:rsid w:val="00E275EB"/>
    <w:rsid w:val="00E328B5"/>
    <w:rsid w:val="00E34D8D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5FF"/>
    <w:rsid w:val="00E84854"/>
    <w:rsid w:val="00E857A6"/>
    <w:rsid w:val="00E864F7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2D3D"/>
    <w:rsid w:val="00EE63D7"/>
    <w:rsid w:val="00EE75F9"/>
    <w:rsid w:val="00EE7D33"/>
    <w:rsid w:val="00EF0527"/>
    <w:rsid w:val="00EF0F97"/>
    <w:rsid w:val="00EF2A3D"/>
    <w:rsid w:val="00EF2C55"/>
    <w:rsid w:val="00EF4D92"/>
    <w:rsid w:val="00F027C7"/>
    <w:rsid w:val="00F02940"/>
    <w:rsid w:val="00F11913"/>
    <w:rsid w:val="00F12B22"/>
    <w:rsid w:val="00F14DAF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3793D"/>
    <w:rsid w:val="00F401CA"/>
    <w:rsid w:val="00F41009"/>
    <w:rsid w:val="00F41CB1"/>
    <w:rsid w:val="00F42103"/>
    <w:rsid w:val="00F43E7F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6F4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613"/>
    <w:rsid w:val="00FE6F93"/>
    <w:rsid w:val="00FE7063"/>
    <w:rsid w:val="00FE735E"/>
    <w:rsid w:val="00FE7C33"/>
    <w:rsid w:val="00FF1F48"/>
    <w:rsid w:val="00FF3341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847EB9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847EB9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847EB9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847EB9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847EB9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847EB9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847EB9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jgrafanan\Downloads\Stockpile%20and%20Standby%20Funds%20(SSF)%20Monitoring%20as%20of%2027%20October%202021,%204PM.xlsx" TargetMode="External"/><Relationship Id="rId13" Type="http://schemas.openxmlformats.org/officeDocument/2006/relationships/hyperlink" Target="file:///C:\Users\mjgrafanan\Downloads\Stockpile%20and%20Standby%20Funds%20(SSF)%20Monitoring%20as%20of%2027%20October%202021,%204PM.xlsx" TargetMode="External"/><Relationship Id="rId18" Type="http://schemas.openxmlformats.org/officeDocument/2006/relationships/hyperlink" Target="file:///C:\Users\mjgrafanan\Downloads\Stockpile%20and%20Standby%20Funds%20(SSF)%20Monitoring%20as%20of%2027%20October%202021,%204PM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mjgrafanan\Downloads\Stockpile%20and%20Standby%20Funds%20(SSF)%20Monitoring%20as%20of%2027%20October%202021,%204PM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jgrafanan\Downloads\Stockpile%20and%20Standby%20Funds%20(SSF)%20Monitoring%20as%20of%2027%20October%202021,%204PM.xlsx" TargetMode="External"/><Relationship Id="rId17" Type="http://schemas.openxmlformats.org/officeDocument/2006/relationships/hyperlink" Target="file:///C:\Users\mjgrafanan\Downloads\Stockpile%20and%20Standby%20Funds%20(SSF)%20Monitoring%20as%20of%2027%20October%202021,%204PM.xlsx" TargetMode="External"/><Relationship Id="rId25" Type="http://schemas.openxmlformats.org/officeDocument/2006/relationships/hyperlink" Target="file:///C:\Users\mjgrafanan\Downloads\Stockpile%20and%20Standby%20Funds%20(SSF)%20Monitoring%20as%20of%2027%20October%202021,%204PM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jgrafanan\Downloads\Stockpile%20and%20Standby%20Funds%20(SSF)%20Monitoring%20as%20of%2027%20October%202021,%204PM.xlsx" TargetMode="External"/><Relationship Id="rId20" Type="http://schemas.openxmlformats.org/officeDocument/2006/relationships/hyperlink" Target="file:///C:\Users\mjgrafanan\Downloads\Stockpile%20and%20Standby%20Funds%20(SSF)%20Monitoring%20as%20of%2027%20October%202021,%204PM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jgrafanan\Downloads\Stockpile%20and%20Standby%20Funds%20(SSF)%20Monitoring%20as%20of%2027%20October%202021,%204PM.xlsx" TargetMode="External"/><Relationship Id="rId24" Type="http://schemas.openxmlformats.org/officeDocument/2006/relationships/hyperlink" Target="file:///C:\Users\mjgrafanan\Downloads\Stockpile%20and%20Standby%20Funds%20(SSF)%20Monitoring%20as%20of%2027%20October%202021,%204PM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jgrafanan\Downloads\Stockpile%20and%20Standby%20Funds%20(SSF)%20Monitoring%20as%20of%2027%20October%202021,%204PM.xlsx" TargetMode="External"/><Relationship Id="rId23" Type="http://schemas.openxmlformats.org/officeDocument/2006/relationships/hyperlink" Target="file:///C:\Users\mjgrafanan\Downloads\Stockpile%20and%20Standby%20Funds%20(SSF)%20Monitoring%20as%20of%2027%20October%202021,%204PM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mjgrafanan\Downloads\Stockpile%20and%20Standby%20Funds%20(SSF)%20Monitoring%20as%20of%2027%20October%202021,%204PM.xlsx" TargetMode="External"/><Relationship Id="rId19" Type="http://schemas.openxmlformats.org/officeDocument/2006/relationships/hyperlink" Target="file:///C:\Users\mjgrafanan\Downloads\Stockpile%20and%20Standby%20Funds%20(SSF)%20Monitoring%20as%20of%2027%20October%202021,%204PM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jgrafanan\Downloads\Stockpile%20and%20Standby%20Funds%20(SSF)%20Monitoring%20as%20of%2027%20October%202021,%204PM.xlsx" TargetMode="External"/><Relationship Id="rId14" Type="http://schemas.openxmlformats.org/officeDocument/2006/relationships/hyperlink" Target="file:///C:\Users\mjgrafanan\Downloads\Stockpile%20and%20Standby%20Funds%20(SSF)%20Monitoring%20as%20of%2027%20October%202021,%204PM.xlsx" TargetMode="External"/><Relationship Id="rId22" Type="http://schemas.openxmlformats.org/officeDocument/2006/relationships/hyperlink" Target="file:///C:\Users\mjgrafanan\Downloads\Stockpile%20and%20Standby%20Funds%20(SSF)%20Monitoring%20as%20of%2027%20October%202021,%204PM.xls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09D1-D31A-489C-BC4B-8599E8DE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13</cp:revision>
  <cp:lastPrinted>2021-07-05T02:11:00Z</cp:lastPrinted>
  <dcterms:created xsi:type="dcterms:W3CDTF">2021-10-30T07:12:00Z</dcterms:created>
  <dcterms:modified xsi:type="dcterms:W3CDTF">2021-11-01T08:04:00Z</dcterms:modified>
</cp:coreProperties>
</file>