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15C9" w14:textId="3EF79952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84764A">
        <w:rPr>
          <w:rFonts w:ascii="Arial" w:hAnsi="Arial" w:cs="Arial"/>
          <w:b/>
          <w:sz w:val="32"/>
          <w:szCs w:val="32"/>
        </w:rPr>
        <w:t>4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“Maring</w:t>
      </w:r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0577B9C5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783991">
        <w:rPr>
          <w:rFonts w:ascii="Arial" w:eastAsia="Arial" w:hAnsi="Arial" w:cs="Arial"/>
          <w:sz w:val="24"/>
          <w:szCs w:val="24"/>
        </w:rPr>
        <w:t>1</w:t>
      </w:r>
      <w:r w:rsidR="0084764A">
        <w:rPr>
          <w:rFonts w:ascii="Arial" w:eastAsia="Arial" w:hAnsi="Arial" w:cs="Arial"/>
          <w:sz w:val="24"/>
          <w:szCs w:val="24"/>
        </w:rPr>
        <w:t>5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>prevail over Metro Manila, Bataan, Cavite, Batangas, Antique, Aklan,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“Maring”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Zambales,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Issued on 14 October 2021 at 4 PM, Intertropical Convergence Zone (ICTZ) affecting Luzon and Visayas.</w:t>
      </w:r>
    </w:p>
    <w:p w14:paraId="719B9DE6" w14:textId="2B2516B2" w:rsidR="009E118A" w:rsidRDefault="009E118A" w:rsidP="00B71E3A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9A52F1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7CD43C75" w:rsidR="00D41206" w:rsidRPr="0092079B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79B">
        <w:rPr>
          <w:rFonts w:ascii="Arial" w:eastAsia="Times New Roman" w:hAnsi="Arial" w:cs="Arial"/>
          <w:bCs/>
          <w:sz w:val="24"/>
          <w:szCs w:val="24"/>
        </w:rPr>
        <w:t>A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total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of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104A1" w:rsidRPr="009104A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3,611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or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="009104A1" w:rsidRPr="009104A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12,950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were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by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the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by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STS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“Maring”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in</w:t>
      </w:r>
      <w:r w:rsidR="00E122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04A1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in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03DA4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83991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83991" w:rsidRPr="00783991">
        <w:rPr>
          <w:rFonts w:ascii="Arial" w:eastAsia="Times New Roman" w:hAnsi="Arial" w:cs="Arial"/>
          <w:sz w:val="24"/>
          <w:szCs w:val="24"/>
        </w:rPr>
        <w:t>and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05CC2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(see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Table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2CEE0E7E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06" w:type="pct"/>
        <w:tblInd w:w="704" w:type="dxa"/>
        <w:tblLook w:val="04A0" w:firstRow="1" w:lastRow="0" w:firstColumn="1" w:lastColumn="0" w:noHBand="0" w:noVBand="1"/>
      </w:tblPr>
      <w:tblGrid>
        <w:gridCol w:w="347"/>
        <w:gridCol w:w="4472"/>
        <w:gridCol w:w="1733"/>
        <w:gridCol w:w="1209"/>
        <w:gridCol w:w="1209"/>
      </w:tblGrid>
      <w:tr w:rsidR="009104A1" w:rsidRPr="009104A1" w14:paraId="43F9E595" w14:textId="77777777" w:rsidTr="009104A1">
        <w:trPr>
          <w:trHeight w:val="50"/>
        </w:trPr>
        <w:tc>
          <w:tcPr>
            <w:tcW w:w="26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081813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906EDD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9104A1" w:rsidRPr="009104A1" w14:paraId="4950B343" w14:textId="77777777" w:rsidTr="009104A1">
        <w:trPr>
          <w:trHeight w:val="50"/>
        </w:trPr>
        <w:tc>
          <w:tcPr>
            <w:tcW w:w="2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1D4C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17B7C3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F194CC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E63198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104A1" w:rsidRPr="009104A1" w14:paraId="591452E8" w14:textId="77777777" w:rsidTr="009104A1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EB682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C6727" w14:textId="425DCEAD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2E196A" w14:textId="54C342ED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3,611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1AD9B" w14:textId="76814F40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12,950 </w:t>
            </w:r>
          </w:p>
        </w:tc>
      </w:tr>
      <w:tr w:rsidR="009104A1" w:rsidRPr="009104A1" w14:paraId="56D3F83D" w14:textId="77777777" w:rsidTr="009104A1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BD699E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9BC59" w14:textId="23D23A1C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B762D" w14:textId="174FB69A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3,609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C18001" w14:textId="46E1ABCD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12,940 </w:t>
            </w:r>
          </w:p>
        </w:tc>
      </w:tr>
      <w:tr w:rsidR="009104A1" w:rsidRPr="009104A1" w14:paraId="62A83020" w14:textId="77777777" w:rsidTr="009104A1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7151A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15139" w14:textId="1030C50A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5DC2F" w14:textId="49510F2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CE72A" w14:textId="498D20A6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9104A1" w:rsidRPr="009104A1" w14:paraId="0F398022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B2C64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E055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D4DA" w14:textId="1148E4C1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7CF9" w14:textId="2843045F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24C3" w14:textId="1E033994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9104A1" w:rsidRPr="009104A1" w14:paraId="3D83FDAE" w14:textId="77777777" w:rsidTr="009104A1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55BA4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95A65" w14:textId="2ECA79AE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DE143" w14:textId="404D80E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77185" w14:textId="7F25EDE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12,854 </w:t>
            </w:r>
          </w:p>
        </w:tc>
      </w:tr>
      <w:tr w:rsidR="009104A1" w:rsidRPr="009104A1" w14:paraId="33B973C7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7D05C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0C39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C665" w14:textId="6E0C0F69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C272" w14:textId="1E8CF95B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5A45" w14:textId="3ED8E1B6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9104A1" w:rsidRPr="009104A1" w14:paraId="0BABE200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B6950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21F8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DCF9" w14:textId="27DB37A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E093" w14:textId="4D4D3E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3004" w14:textId="11CE081F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9104A1" w:rsidRPr="009104A1" w14:paraId="26557249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9DFC2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F371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E0FD" w14:textId="29C9AF5B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0077" w14:textId="32B88CF2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8256" w14:textId="4F2C92BF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1,227 </w:t>
            </w:r>
          </w:p>
        </w:tc>
      </w:tr>
      <w:tr w:rsidR="009104A1" w:rsidRPr="009104A1" w14:paraId="374FC831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E2646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1768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D1A9" w14:textId="002E8F4B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3B48" w14:textId="02DAB59B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E870" w14:textId="08C6C010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</w:tr>
      <w:tr w:rsidR="009104A1" w:rsidRPr="009104A1" w14:paraId="6774B560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FDF6A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904A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E5C39" w14:textId="5DC29C4F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BB90" w14:textId="6B2FB85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1,658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80BD" w14:textId="6EA309C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5,287 </w:t>
            </w:r>
          </w:p>
        </w:tc>
      </w:tr>
      <w:tr w:rsidR="009104A1" w:rsidRPr="009104A1" w14:paraId="57E1D70E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F0955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B31B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F99C" w14:textId="30D8716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B79A" w14:textId="1C4F6C4C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784B" w14:textId="1FE3C7CE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2,931 </w:t>
            </w:r>
          </w:p>
        </w:tc>
      </w:tr>
      <w:tr w:rsidR="009104A1" w:rsidRPr="009104A1" w14:paraId="5B7E2D3B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2980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DF2D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ACB8" w14:textId="61DEF9A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F3DA" w14:textId="673DF37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9FFA" w14:textId="00AD784A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908 </w:t>
            </w:r>
          </w:p>
        </w:tc>
      </w:tr>
      <w:tr w:rsidR="009104A1" w:rsidRPr="009104A1" w14:paraId="34B7A588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088D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D414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 Española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C859" w14:textId="1922AFE1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EA4D" w14:textId="266BCF76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825C" w14:textId="2316508D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1,726 </w:t>
            </w:r>
          </w:p>
        </w:tc>
      </w:tr>
      <w:tr w:rsidR="009104A1" w:rsidRPr="009104A1" w14:paraId="737C3CE9" w14:textId="77777777" w:rsidTr="009104A1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561612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964D6" w14:textId="1D52CC2C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E5DB5" w14:textId="1C0CFB6E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D94E3" w14:textId="626847D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104A1" w:rsidRPr="009104A1" w14:paraId="7A82CF08" w14:textId="77777777" w:rsidTr="009104A1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9ACE3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A25DB" w14:textId="2471CF8F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B0E89" w14:textId="72FDBE9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98D09" w14:textId="5394C7E4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104A1" w:rsidRPr="009104A1" w14:paraId="6AD15E89" w14:textId="77777777" w:rsidTr="009104A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D5567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0EAF" w14:textId="77777777" w:rsidR="009104A1" w:rsidRPr="009104A1" w:rsidRDefault="009104A1" w:rsidP="009104A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273D" w14:textId="1D069E35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3CEF" w14:textId="5EC947E2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5445" w14:textId="4CED1056" w:rsidR="009104A1" w:rsidRPr="009104A1" w:rsidRDefault="009104A1" w:rsidP="009104A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04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4FF0F058" w14:textId="77777777" w:rsidR="00CA0A3C" w:rsidRDefault="00CA0A3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6A11C66" w14:textId="3386A83D" w:rsidR="00261A8B" w:rsidRPr="009A52F1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6606A4">
        <w:rPr>
          <w:rFonts w:ascii="Arial" w:hAnsi="Arial" w:cs="Arial"/>
          <w:b/>
          <w:sz w:val="28"/>
          <w:szCs w:val="24"/>
        </w:rPr>
        <w:lastRenderedPageBreak/>
        <w:t>Status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of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Displaced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Population</w:t>
      </w:r>
    </w:p>
    <w:p w14:paraId="450AFD79" w14:textId="47822F6E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557CA57F" w:rsidR="003D7289" w:rsidRPr="00C22594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C141E9" w:rsidRPr="00C141E9">
        <w:rPr>
          <w:rFonts w:ascii="Arial" w:hAnsi="Arial" w:cs="Arial"/>
          <w:b/>
          <w:bCs/>
          <w:color w:val="0070C0"/>
          <w:sz w:val="24"/>
          <w:szCs w:val="24"/>
        </w:rPr>
        <w:t xml:space="preserve"> 482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141E9" w:rsidRPr="00C141E9">
        <w:rPr>
          <w:rFonts w:ascii="Arial" w:hAnsi="Arial" w:cs="Arial"/>
          <w:b/>
          <w:bCs/>
          <w:color w:val="0070C0"/>
          <w:sz w:val="24"/>
          <w:szCs w:val="24"/>
        </w:rPr>
        <w:t xml:space="preserve">1,531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currently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taking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temporary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shelter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B509E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C141E9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069D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069D" w:rsidRPr="003C069D">
        <w:rPr>
          <w:rFonts w:ascii="Arial" w:eastAsia="Times New Roman" w:hAnsi="Arial" w:cs="Arial"/>
          <w:sz w:val="24"/>
          <w:szCs w:val="24"/>
        </w:rPr>
        <w:t>and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4594301E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542" w:type="pct"/>
        <w:tblInd w:w="988" w:type="dxa"/>
        <w:tblLook w:val="04A0" w:firstRow="1" w:lastRow="0" w:firstColumn="1" w:lastColumn="0" w:noHBand="0" w:noVBand="1"/>
      </w:tblPr>
      <w:tblGrid>
        <w:gridCol w:w="329"/>
        <w:gridCol w:w="3073"/>
        <w:gridCol w:w="908"/>
        <w:gridCol w:w="910"/>
        <w:gridCol w:w="908"/>
        <w:gridCol w:w="910"/>
        <w:gridCol w:w="908"/>
        <w:gridCol w:w="904"/>
      </w:tblGrid>
      <w:tr w:rsidR="00826FC9" w:rsidRPr="00826FC9" w14:paraId="08A20425" w14:textId="77777777" w:rsidTr="00826FC9">
        <w:trPr>
          <w:trHeight w:val="20"/>
        </w:trPr>
        <w:tc>
          <w:tcPr>
            <w:tcW w:w="1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471B87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F7F3C4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A4F8B5B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826FC9" w:rsidRPr="00826FC9" w14:paraId="31C90A10" w14:textId="77777777" w:rsidTr="00826FC9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AA00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7A270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F7F4D65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826FC9" w:rsidRPr="00826FC9" w14:paraId="709AC046" w14:textId="77777777" w:rsidTr="00826FC9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D0A6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12B3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B21ED1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54FDD5" w14:textId="507EB4A2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826FC9" w:rsidRPr="00826FC9" w14:paraId="4EB8EDFB" w14:textId="77777777" w:rsidTr="00826FC9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2CD8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F85E91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50C382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1C1C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681564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099882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CA4BE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826FC9" w:rsidRPr="00826FC9" w14:paraId="2436AA55" w14:textId="77777777" w:rsidTr="00826FC9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E3CA11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BB570" w14:textId="5DA8D7A1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C3332" w14:textId="38F6AED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44F722" w14:textId="6A96F30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1,408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99164" w14:textId="0A12A924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B9275" w14:textId="007103C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5,175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8E3FEA" w14:textId="23B9AAC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1,531 </w:t>
            </w:r>
          </w:p>
        </w:tc>
      </w:tr>
      <w:tr w:rsidR="00826FC9" w:rsidRPr="00826FC9" w14:paraId="2DA0D5BA" w14:textId="77777777" w:rsidTr="00826FC9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314CCD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C5114" w14:textId="0D57C9C9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F48BB" w14:textId="3A52241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5E6F3" w14:textId="04A31B84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1,406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A0140" w14:textId="70B8A1E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EA93A" w14:textId="70DC5D0A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5,165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ED9A7" w14:textId="7A7B587F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1,521 </w:t>
            </w:r>
          </w:p>
        </w:tc>
      </w:tr>
      <w:tr w:rsidR="00826FC9" w:rsidRPr="00826FC9" w14:paraId="527B6CBE" w14:textId="77777777" w:rsidTr="00826FC9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4165E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AC6CC" w14:textId="0CFC5E4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97837" w14:textId="34C1C8D1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5DCC7" w14:textId="17C901D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38F71" w14:textId="246A090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2B107" w14:textId="4D7CC72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E1E41" w14:textId="7699647F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26FC9" w:rsidRPr="00826FC9" w14:paraId="596F382B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799A6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7356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71A6" w14:textId="69874FE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CB1E" w14:textId="386DE7C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0143" w14:textId="3286FAB3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2620" w14:textId="6D2CFFB3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A212" w14:textId="6FC6C7D0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5D89" w14:textId="298F9E6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6D73814F" w14:textId="77777777" w:rsidTr="00826FC9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ABCF0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0B91" w14:textId="051EC8C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BA559" w14:textId="252F070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321EB" w14:textId="3E691358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1,388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9255E" w14:textId="0E7F1BC4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B3754" w14:textId="6845F059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6637C" w14:textId="3DC53A10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1,521 </w:t>
            </w:r>
          </w:p>
        </w:tc>
      </w:tr>
      <w:tr w:rsidR="00826FC9" w:rsidRPr="00826FC9" w14:paraId="10D76ECC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497CF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8717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B3F" w14:textId="036F43C9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D214" w14:textId="3C6A6E1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1C36" w14:textId="1BF3FEB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2061" w14:textId="19B5964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FE23" w14:textId="5E9300F8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3079" w14:textId="17BB46AB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07D57E1C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549D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CFF8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3B22" w14:textId="40BE7AE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3942" w14:textId="6C616511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4B66" w14:textId="09BDC2FB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919F" w14:textId="2AD7E44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6D7C" w14:textId="51D09CBE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F71A" w14:textId="084790F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75FED1BA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3AD99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8D9D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A15E" w14:textId="06BB081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6B1E" w14:textId="6C92D174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1AD0" w14:textId="6B4C9B9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9141" w14:textId="1622DF64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3B03" w14:textId="23F7BA8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B81C" w14:textId="438FC4B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04F6E7FE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0B851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DD0F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55ED" w14:textId="2512461E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37E4" w14:textId="467CED7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1B05" w14:textId="45479539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4596" w14:textId="1B99FB03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833B" w14:textId="37D6889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2BF4" w14:textId="5C4E6D9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1,521 </w:t>
            </w:r>
          </w:p>
        </w:tc>
      </w:tr>
      <w:tr w:rsidR="00826FC9" w:rsidRPr="00826FC9" w14:paraId="166A456E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E9F2B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E853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785E" w14:textId="5F367C1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7B2C" w14:textId="6C59FEE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3CB3" w14:textId="2C4E2CA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604A" w14:textId="367134A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D8BD" w14:textId="35991D70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1,751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AD0B" w14:textId="12D5000E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151FC5E9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65CEA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2937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0343" w14:textId="4BFC011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0AD7" w14:textId="18FE1F53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AA5B" w14:textId="16DA96E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2D23" w14:textId="5F027B50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8DE1" w14:textId="0B08344B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B572" w14:textId="76BCCC5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7D14521D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839E8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7750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 Española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F9F" w14:textId="1A1A66D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3C25" w14:textId="56EDE892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38ED" w14:textId="30B98829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9BA3" w14:textId="794C164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9741" w14:textId="01F7E6D8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66B1" w14:textId="6EBAC771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826FC9" w:rsidRPr="00826FC9" w14:paraId="639EB0AD" w14:textId="77777777" w:rsidTr="00826FC9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9F1D1F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CE808" w14:textId="016A4A8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E5677" w14:textId="44476EF9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81215" w14:textId="5CDDAAE1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A9D52" w14:textId="3B77CC9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24FFF" w14:textId="520155C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3B11F" w14:textId="0CA2A83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826FC9" w:rsidRPr="00826FC9" w14:paraId="649A3582" w14:textId="77777777" w:rsidTr="00826FC9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CC273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C9B4E" w14:textId="7489CA2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EDDE6" w14:textId="4A883B3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37D05" w14:textId="71D2D7A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01910" w14:textId="67ADE33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E320A" w14:textId="47B4C35C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25816" w14:textId="5AA96E65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826FC9" w:rsidRPr="00826FC9" w14:paraId="1C367D7E" w14:textId="77777777" w:rsidTr="00826FC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39D43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CF6F" w14:textId="77777777" w:rsidR="00826FC9" w:rsidRPr="00826FC9" w:rsidRDefault="00826FC9" w:rsidP="00826FC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A2BA" w14:textId="2E67F690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8567" w14:textId="1638AF0F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6CFF" w14:textId="1C863243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75C3" w14:textId="13B7DCDE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8EE2" w14:textId="2F56B206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5429" w14:textId="5091AEED" w:rsidR="00826FC9" w:rsidRPr="00826FC9" w:rsidRDefault="00826FC9" w:rsidP="00826FC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26F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1FF2AD2E" w14:textId="4D9F6D0E" w:rsidR="00D41206" w:rsidRPr="00D748B7" w:rsidRDefault="001778C3" w:rsidP="00E12215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23CD699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1ED419C7" w:rsidR="00D41206" w:rsidRPr="00C141E9" w:rsidRDefault="00905CC2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141E9">
        <w:rPr>
          <w:rFonts w:ascii="Arial" w:hAnsi="Arial" w:cs="Arial"/>
          <w:sz w:val="24"/>
          <w:szCs w:val="24"/>
        </w:rPr>
        <w:t>There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Pr="00C141E9">
        <w:rPr>
          <w:rFonts w:ascii="Arial" w:hAnsi="Arial" w:cs="Arial"/>
          <w:sz w:val="24"/>
          <w:szCs w:val="24"/>
        </w:rPr>
        <w:t>are</w:t>
      </w:r>
      <w:r w:rsidR="003C7E48" w:rsidRPr="00C141E9">
        <w:rPr>
          <w:rFonts w:ascii="Arial" w:hAnsi="Arial" w:cs="Arial"/>
          <w:b/>
          <w:bCs/>
          <w:sz w:val="24"/>
          <w:szCs w:val="24"/>
        </w:rPr>
        <w:t xml:space="preserve"> 238 </w:t>
      </w:r>
      <w:r w:rsidR="00D41206" w:rsidRPr="00C141E9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3C7E48" w:rsidRPr="00C141E9">
        <w:rPr>
          <w:rFonts w:ascii="Arial" w:hAnsi="Arial" w:cs="Arial"/>
          <w:b/>
          <w:bCs/>
          <w:sz w:val="24"/>
          <w:szCs w:val="24"/>
        </w:rPr>
        <w:t xml:space="preserve">1,187 </w:t>
      </w:r>
      <w:r w:rsidR="00D41206" w:rsidRPr="00C141E9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Pr="00C141E9">
        <w:rPr>
          <w:rFonts w:ascii="Arial" w:hAnsi="Arial" w:cs="Arial"/>
          <w:sz w:val="24"/>
          <w:szCs w:val="24"/>
        </w:rPr>
        <w:t>temporarily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Pr="00C141E9">
        <w:rPr>
          <w:rFonts w:ascii="Arial" w:hAnsi="Arial" w:cs="Arial"/>
          <w:sz w:val="24"/>
          <w:szCs w:val="24"/>
        </w:rPr>
        <w:t>staying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with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their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relatives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and/or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friends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in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8264DB" w:rsidRPr="00C141E9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C141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(see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Table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6634687E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503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31"/>
        <w:gridCol w:w="1129"/>
        <w:gridCol w:w="1126"/>
      </w:tblGrid>
      <w:tr w:rsidR="00C141E9" w:rsidRPr="00C141E9" w14:paraId="7139FEFA" w14:textId="77777777" w:rsidTr="00C141E9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FEABF3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17558E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C141E9" w:rsidRPr="00C141E9" w14:paraId="62550666" w14:textId="77777777" w:rsidTr="00C141E9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A738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D6E67D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C141E9" w:rsidRPr="00C141E9" w14:paraId="3920F0E3" w14:textId="77777777" w:rsidTr="00C141E9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71B6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E3A39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5C4DC9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C141E9" w:rsidRPr="00C141E9" w14:paraId="3BCBA4CC" w14:textId="77777777" w:rsidTr="00C141E9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5F846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D27E08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39C243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DE5782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D007E6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C141E9" w:rsidRPr="00C141E9" w14:paraId="6DD6C8EF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1089F4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894150" w14:textId="39DA37E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2,203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9B7493" w14:textId="7691E15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4156D" w14:textId="289BDA7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7,775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6D143" w14:textId="07C03A0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</w:tr>
      <w:tr w:rsidR="00C141E9" w:rsidRPr="00C141E9" w14:paraId="61C124B1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E7719B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E4005" w14:textId="2E318A5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2,203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ACB31" w14:textId="0851C45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20CA9" w14:textId="25DCAF3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7,775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CA4F6" w14:textId="3A707439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</w:tr>
      <w:tr w:rsidR="00C141E9" w:rsidRPr="00C141E9" w14:paraId="73ADA107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98466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91EB1" w14:textId="4AA35411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2,203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B136A" w14:textId="03A3BBCB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49C4D" w14:textId="1D8F09E3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7,775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D2B2A" w14:textId="3D47DE9D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</w:tr>
      <w:tr w:rsidR="00C141E9" w:rsidRPr="00C141E9" w14:paraId="5C596041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78147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64D3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B8F0" w14:textId="6059C0A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9134" w14:textId="58336AE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2C57" w14:textId="2CF0DB6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E523" w14:textId="5994B77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4C819CE5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E9738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37F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5CBE" w14:textId="3E04BBDB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C6A8" w14:textId="22AF49A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E896" w14:textId="67F3B03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75E4" w14:textId="310BC8A6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C141E9" w:rsidRPr="00C141E9" w14:paraId="364B4F99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DAB4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F93E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8ECC" w14:textId="4E0FAFA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08B1" w14:textId="489BB471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4D4F" w14:textId="17F7D11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3,265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B5D4" w14:textId="0B4EBB4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656E394E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9624C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BC8C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36E1" w14:textId="483C03F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356D" w14:textId="60CDD39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4859" w14:textId="3563F18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6F8C" w14:textId="795A218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</w:tr>
      <w:tr w:rsidR="00C141E9" w:rsidRPr="00C141E9" w14:paraId="0C49C934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95175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D377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4D87" w14:textId="0077C53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10F3" w14:textId="6365A57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4379" w14:textId="65F3E2B6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42E9" w14:textId="06C93C5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2586A995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87A3B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CE9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 Española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A104" w14:textId="60B54F0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03B3" w14:textId="3D6AA5F3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BD6C" w14:textId="20EE856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B871" w14:textId="5876FF1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E090FDE" w14:textId="11D0D701" w:rsidR="00D41206" w:rsidRDefault="00D41206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FF499D" w14:textId="77777777" w:rsidR="008A483C" w:rsidRDefault="008A4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CFD2F1" w14:textId="2C13A720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7C76EDDE" w:rsidR="00D748B7" w:rsidRPr="00C22594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9A52F1">
        <w:rPr>
          <w:rFonts w:ascii="Arial" w:hAnsi="Arial" w:cs="Arial"/>
          <w:sz w:val="24"/>
          <w:szCs w:val="24"/>
        </w:rPr>
        <w:t xml:space="preserve"> </w:t>
      </w:r>
      <w:r w:rsidR="00C141E9" w:rsidRPr="00C141E9">
        <w:rPr>
          <w:rFonts w:ascii="Arial" w:hAnsi="Arial" w:cs="Arial"/>
          <w:b/>
          <w:bCs/>
          <w:color w:val="0070C0"/>
          <w:sz w:val="24"/>
          <w:szCs w:val="24"/>
        </w:rPr>
        <w:t>720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141E9" w:rsidRPr="00C141E9">
        <w:rPr>
          <w:rFonts w:ascii="Arial" w:hAnsi="Arial" w:cs="Arial"/>
          <w:b/>
          <w:bCs/>
          <w:color w:val="0070C0"/>
          <w:sz w:val="24"/>
          <w:szCs w:val="24"/>
        </w:rPr>
        <w:t xml:space="preserve">2,718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Regions</w:t>
      </w:r>
      <w:r w:rsidR="00E1221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2E268F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0E719ACF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503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31"/>
        <w:gridCol w:w="1129"/>
        <w:gridCol w:w="1126"/>
      </w:tblGrid>
      <w:tr w:rsidR="00C141E9" w:rsidRPr="00C141E9" w14:paraId="123AFF41" w14:textId="77777777" w:rsidTr="00C141E9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C72AF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688ECC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C141E9" w:rsidRPr="00C141E9" w14:paraId="518E41AC" w14:textId="77777777" w:rsidTr="00C141E9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1D9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FF979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67D61F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C141E9" w:rsidRPr="00C141E9" w14:paraId="249CF86F" w14:textId="77777777" w:rsidTr="00C141E9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383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CBF39E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4DD979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C141E9" w:rsidRPr="00C141E9" w14:paraId="76ECA7C3" w14:textId="77777777" w:rsidTr="00C141E9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8F5E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FE934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26AD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9E384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DA333E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C141E9" w:rsidRPr="00C141E9" w14:paraId="24348D82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938633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903F2C" w14:textId="701EE9F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46383" w14:textId="083AC12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A5B0D" w14:textId="60E9B47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3DFFB" w14:textId="572C445B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2,718 </w:t>
            </w:r>
          </w:p>
        </w:tc>
      </w:tr>
      <w:tr w:rsidR="00C141E9" w:rsidRPr="00C141E9" w14:paraId="4EAF3DE5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25684E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F3508" w14:textId="4DB3054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3,609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22C54" w14:textId="2C46644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B63BD" w14:textId="3FAB200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12,940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1E1F9A" w14:textId="087B6C8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2,708 </w:t>
            </w:r>
          </w:p>
        </w:tc>
      </w:tr>
      <w:tr w:rsidR="00C141E9" w:rsidRPr="00C141E9" w14:paraId="6AFAFCB7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66A36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5624D" w14:textId="541C1DD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8DECA" w14:textId="72AE6B9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7DBC7" w14:textId="493CD49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72674" w14:textId="3D19530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141E9" w:rsidRPr="00C141E9" w14:paraId="2BAC2784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DEABF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7B60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F17C" w14:textId="400AEC76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F332" w14:textId="4EE4ACD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9424" w14:textId="18BA93A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EDCA" w14:textId="1676896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47DC735E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4B139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F8903" w14:textId="5A3C8F5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3,591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7FF7F" w14:textId="6AE9FAC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188F2" w14:textId="6BE4A846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12,854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F95A3" w14:textId="19F8057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2,708 </w:t>
            </w:r>
          </w:p>
        </w:tc>
      </w:tr>
      <w:tr w:rsidR="00C141E9" w:rsidRPr="00C141E9" w14:paraId="51AC5825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2BF3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0B5B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827E" w14:textId="358DD06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CEC" w14:textId="183748E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E8B6" w14:textId="388874C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52D5" w14:textId="25146AB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5F4B9A63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E6812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5235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82A8" w14:textId="05867D0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6B34" w14:textId="144B854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939D" w14:textId="1074AC29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D344" w14:textId="76934AA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4142BDA0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BB21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CD43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48F3" w14:textId="2143E591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24D" w14:textId="5ADF415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FD84" w14:textId="472A5203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1,227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66C0" w14:textId="0EDB9721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C141E9" w:rsidRPr="00C141E9" w14:paraId="0832F17D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16FD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D808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A2F2" w14:textId="28E2492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D116" w14:textId="5453974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3B85" w14:textId="18BC8F48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20F9" w14:textId="11075BA8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570450F0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6F3CC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931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3CEA" w14:textId="07A26356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1,658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A935" w14:textId="578AFEF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4C0C" w14:textId="2BCBF401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5,287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0A27" w14:textId="6D348881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1,521 </w:t>
            </w:r>
          </w:p>
        </w:tc>
      </w:tr>
      <w:tr w:rsidR="00C141E9" w:rsidRPr="00C141E9" w14:paraId="2F79574F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1DEB4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7F39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93C2" w14:textId="73B6516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6299" w14:textId="02899AB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81CB" w14:textId="32682C0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2,931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061C" w14:textId="6A8251F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</w:tr>
      <w:tr w:rsidR="00C141E9" w:rsidRPr="00C141E9" w14:paraId="25C6CD5E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74432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0B7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534F0" w14:textId="2E5F52F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D16C" w14:textId="723A2B2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0E5A" w14:textId="5B0F286F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908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5EAC" w14:textId="41BD349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3CF9F7E1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163AB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6CC3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 Española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6647" w14:textId="10E4C22B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B226" w14:textId="42F6544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1520" w14:textId="261CAF6A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1,726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44BE" w14:textId="22FEB37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41E9" w:rsidRPr="00C141E9" w14:paraId="4A6C24F0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A737D2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155F43" w14:textId="61260D04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45D5D" w14:textId="73C71C2B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E9253" w14:textId="724C8F69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05651" w14:textId="62450E7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141E9" w:rsidRPr="00C141E9" w14:paraId="14B863DC" w14:textId="77777777" w:rsidTr="00C141E9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1D7EA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505D8" w14:textId="4ADF570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E2782" w14:textId="214BD39E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E5941" w14:textId="34FB319C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2E0D8" w14:textId="38E53470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141E9" w:rsidRPr="00C141E9" w14:paraId="4DF8DDE7" w14:textId="77777777" w:rsidTr="00C141E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BBAE7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EA71" w14:textId="77777777" w:rsidR="00C141E9" w:rsidRPr="00C141E9" w:rsidRDefault="00C141E9" w:rsidP="00C141E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9F36" w14:textId="71B07D15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9566" w14:textId="144DB586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43C8" w14:textId="342A3DC7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2A05" w14:textId="1912C162" w:rsidR="00C141E9" w:rsidRPr="00C141E9" w:rsidRDefault="00C141E9" w:rsidP="00C141E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4D89FB" w14:textId="6EF033B3" w:rsidR="00700377" w:rsidRPr="009A52F1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677BF9B8" w14:textId="7C96A835" w:rsidR="00401592" w:rsidRPr="00837028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645756" w:rsidRPr="00645756">
        <w:rPr>
          <w:rFonts w:ascii="Arial" w:hAnsi="Arial" w:cs="Arial"/>
          <w:b/>
          <w:bCs/>
          <w:color w:val="0070C0"/>
          <w:sz w:val="24"/>
          <w:szCs w:val="24"/>
        </w:rPr>
        <w:t xml:space="preserve"> 114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were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damaged;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which,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45756" w:rsidRPr="00645756">
        <w:rPr>
          <w:rFonts w:ascii="Arial" w:hAnsi="Arial" w:cs="Arial"/>
          <w:b/>
          <w:bCs/>
          <w:color w:val="0070C0"/>
          <w:sz w:val="24"/>
          <w:szCs w:val="24"/>
        </w:rPr>
        <w:t>52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645756" w:rsidRPr="00645756">
        <w:rPr>
          <w:rFonts w:ascii="Arial" w:hAnsi="Arial" w:cs="Arial"/>
          <w:b/>
          <w:bCs/>
          <w:color w:val="0070C0"/>
          <w:sz w:val="24"/>
          <w:szCs w:val="24"/>
        </w:rPr>
        <w:t xml:space="preserve"> 62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are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BE9E3F9" w:rsidR="00401592" w:rsidRPr="003B5534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47" w:type="pct"/>
        <w:tblInd w:w="704" w:type="dxa"/>
        <w:tblLook w:val="04A0" w:firstRow="1" w:lastRow="0" w:firstColumn="1" w:lastColumn="0" w:noHBand="0" w:noVBand="1"/>
      </w:tblPr>
      <w:tblGrid>
        <w:gridCol w:w="385"/>
        <w:gridCol w:w="4715"/>
        <w:gridCol w:w="1318"/>
        <w:gridCol w:w="1318"/>
        <w:gridCol w:w="1314"/>
      </w:tblGrid>
      <w:tr w:rsidR="00645756" w:rsidRPr="00C141E9" w14:paraId="252CBC67" w14:textId="77777777" w:rsidTr="00645756">
        <w:trPr>
          <w:trHeight w:val="50"/>
        </w:trPr>
        <w:tc>
          <w:tcPr>
            <w:tcW w:w="2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D22AA5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BACBE3" w14:textId="6F531B80" w:rsidR="00645756" w:rsidRPr="00C141E9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645756" w:rsidRPr="00C141E9" w14:paraId="5D4D908A" w14:textId="77777777" w:rsidTr="00645756">
        <w:trPr>
          <w:trHeight w:val="20"/>
        </w:trPr>
        <w:tc>
          <w:tcPr>
            <w:tcW w:w="2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B8A7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5BC53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96BE4E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F7D71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645756" w:rsidRPr="00C141E9" w14:paraId="53584295" w14:textId="77777777" w:rsidTr="00645756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7338C2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554789" w14:textId="4973ABFC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64389" w14:textId="32190ABB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9C6D9" w14:textId="77180DFB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</w:tr>
      <w:tr w:rsidR="00645756" w:rsidRPr="00C141E9" w14:paraId="0488EF70" w14:textId="77777777" w:rsidTr="00645756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FF3D3F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DD820A" w14:textId="1C11C69B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27FB2" w14:textId="3C7E582E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97CC5" w14:textId="027F763A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645756" w:rsidRPr="00C141E9" w14:paraId="50C85140" w14:textId="77777777" w:rsidTr="00645756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64A12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458B9" w14:textId="7E024471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C964A" w14:textId="382674CB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E49A3" w14:textId="0694BB42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645756" w:rsidRPr="00C141E9" w14:paraId="5CBF36D7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1E459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EF45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E1BD" w14:textId="36049DAE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E7EC" w14:textId="523DAF94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47E2" w14:textId="1AEB17B4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645756" w:rsidRPr="00C141E9" w14:paraId="34865391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7C586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8356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7C64" w14:textId="5B99EE50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F5CC" w14:textId="0E420B93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7B69" w14:textId="4808ECAF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645756" w:rsidRPr="00C141E9" w14:paraId="26084749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0AB7B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644C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B6EA" w14:textId="60E9353D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F9DD" w14:textId="7F5EFF9B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585F" w14:textId="2AB887C2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645756" w:rsidRPr="00C141E9" w14:paraId="493317B5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39510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3C9C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168B" w14:textId="51DDFE0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C5A9" w14:textId="3A0E77FD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C547" w14:textId="3B789E05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49 </w:t>
            </w:r>
          </w:p>
        </w:tc>
      </w:tr>
      <w:tr w:rsidR="00645756" w:rsidRPr="00C141E9" w14:paraId="22E4ACF8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145E8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B63D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1DA6" w14:textId="2072E7DF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3AD4" w14:textId="751220E6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A277" w14:textId="373AADEF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645756" w:rsidRPr="00C141E9" w14:paraId="671BCD2D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C60B0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1B6C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F61F" w14:textId="7EF4B92C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CCEB8" w14:textId="61A737CD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18F3" w14:textId="247D44B0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645756" w:rsidRPr="00C141E9" w14:paraId="0A4346CB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B3860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8C79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D062" w14:textId="04A9E372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EB96" w14:textId="5DB14DC5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A4DE" w14:textId="11317A9C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645756" w:rsidRPr="00C141E9" w14:paraId="0F32C60F" w14:textId="77777777" w:rsidTr="00645756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FF8CFF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0F5C4" w14:textId="332334F5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145F5" w14:textId="331A1281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5951C" w14:textId="52F11A38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645756" w:rsidRPr="00C141E9" w14:paraId="7181768A" w14:textId="77777777" w:rsidTr="00645756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4E26D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F332F" w14:textId="199D3468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B65C5" w14:textId="10D6399E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C0C49" w14:textId="3D6E4EF5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645756" w:rsidRPr="00C141E9" w14:paraId="42856C37" w14:textId="77777777" w:rsidTr="0064575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927C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663" w14:textId="77777777" w:rsidR="00645756" w:rsidRPr="00C141E9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054E" w14:textId="2ED4A212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43CC" w14:textId="3E3D1E92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C75E" w14:textId="6A721F3D" w:rsidR="00645756" w:rsidRPr="00C141E9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41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</w:tbl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2373410" w14:textId="42FACF44" w:rsidR="00684724" w:rsidRDefault="00684724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2AEE4988" w14:textId="1287BA7B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2AFE1538" w14:textId="7080D3B7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19471389" w14:textId="56C53294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632405D" w14:textId="77777777" w:rsidR="00645756" w:rsidRPr="00CE6D21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7ADBAFC" w14:textId="3DB347A3" w:rsidR="0068472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0EEB47AA" w14:textId="7F50347E" w:rsidR="00684724" w:rsidRPr="004D131E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45756" w:rsidRPr="00645756">
        <w:rPr>
          <w:rFonts w:ascii="Arial" w:hAnsi="Arial" w:cs="Arial"/>
          <w:b/>
          <w:bCs/>
          <w:color w:val="0070C0"/>
          <w:sz w:val="24"/>
          <w:szCs w:val="24"/>
        </w:rPr>
        <w:t xml:space="preserve">4,798,566.80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 xml:space="preserve">; of which </w:t>
      </w:r>
      <w:r w:rsidR="009A52F1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45756" w:rsidRPr="00645756">
        <w:rPr>
          <w:rFonts w:ascii="Arial" w:hAnsi="Arial" w:cs="Arial"/>
          <w:b/>
          <w:bCs/>
          <w:color w:val="0070C0"/>
          <w:sz w:val="24"/>
          <w:szCs w:val="24"/>
        </w:rPr>
        <w:t xml:space="preserve">2,462,902.80 </w:t>
      </w:r>
      <w:r w:rsidR="009A52F1">
        <w:rPr>
          <w:rFonts w:ascii="Arial" w:hAnsi="Arial" w:cs="Arial"/>
          <w:bCs/>
          <w:sz w:val="24"/>
          <w:szCs w:val="24"/>
        </w:rPr>
        <w:t xml:space="preserve">from 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9A52F1">
        <w:rPr>
          <w:rFonts w:ascii="Arial" w:hAnsi="Arial" w:cs="Arial"/>
          <w:bCs/>
          <w:sz w:val="24"/>
          <w:szCs w:val="24"/>
        </w:rPr>
        <w:t xml:space="preserve"> and </w:t>
      </w:r>
      <w:r w:rsidR="009A52F1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45756" w:rsidRPr="00645756">
        <w:rPr>
          <w:rFonts w:ascii="Arial" w:hAnsi="Arial" w:cs="Arial"/>
          <w:b/>
          <w:bCs/>
          <w:color w:val="0070C0"/>
          <w:sz w:val="24"/>
          <w:szCs w:val="24"/>
        </w:rPr>
        <w:t xml:space="preserve">2,335,664.00 </w:t>
      </w:r>
      <w:r w:rsidR="009A52F1" w:rsidRPr="009A52F1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>L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oc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>al Government Unit</w:t>
      </w:r>
      <w:r w:rsidR="001B067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(LGU</w:t>
      </w:r>
      <w:r w:rsidR="001B067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7C66E3F" w:rsidR="00684724" w:rsidRPr="003B553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89" w:type="pct"/>
        <w:tblInd w:w="704" w:type="dxa"/>
        <w:tblLook w:val="04A0" w:firstRow="1" w:lastRow="0" w:firstColumn="1" w:lastColumn="0" w:noHBand="0" w:noVBand="1"/>
      </w:tblPr>
      <w:tblGrid>
        <w:gridCol w:w="329"/>
        <w:gridCol w:w="2001"/>
        <w:gridCol w:w="1497"/>
        <w:gridCol w:w="1497"/>
        <w:gridCol w:w="840"/>
        <w:gridCol w:w="1107"/>
        <w:gridCol w:w="1860"/>
      </w:tblGrid>
      <w:tr w:rsidR="00645756" w:rsidRPr="00645756" w14:paraId="4799F85F" w14:textId="77777777" w:rsidTr="00645756">
        <w:trPr>
          <w:trHeight w:val="50"/>
        </w:trPr>
        <w:tc>
          <w:tcPr>
            <w:tcW w:w="14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4082C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E6E989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45756" w:rsidRPr="00645756" w14:paraId="7398AA39" w14:textId="77777777" w:rsidTr="00645756">
        <w:trPr>
          <w:trHeight w:val="20"/>
        </w:trPr>
        <w:tc>
          <w:tcPr>
            <w:tcW w:w="1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2CAC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A9B295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4A76B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LGUs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076A91" w14:textId="20620F6C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2D71" w14:textId="6B11AE8C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2C300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45756" w:rsidRPr="00645756" w14:paraId="5845B21F" w14:textId="77777777" w:rsidTr="00645756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03925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AD322E" w14:textId="281504C6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2,462,902.80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B0492" w14:textId="4964F486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2,335,664.00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9B4A9A" w14:textId="6F6797B3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89CFA3" w14:textId="06981115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EF63F4" w14:textId="12D3FACB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4,798,566.80 </w:t>
            </w:r>
          </w:p>
        </w:tc>
      </w:tr>
      <w:tr w:rsidR="00645756" w:rsidRPr="00645756" w14:paraId="53DC13C4" w14:textId="77777777" w:rsidTr="00645756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CF2210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A6847" w14:textId="6948FF02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2,462,902.80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F2291" w14:textId="306BD196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2,333,730.00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DE60D" w14:textId="5E47398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F3E3E" w14:textId="5C66392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7388DE" w14:textId="58ACB782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4,796,632.80 </w:t>
            </w:r>
          </w:p>
        </w:tc>
      </w:tr>
      <w:tr w:rsidR="00645756" w:rsidRPr="00645756" w14:paraId="33A07221" w14:textId="77777777" w:rsidTr="00645756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F2CC8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5C1AF" w14:textId="7508E498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2,462,902.80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425ED" w14:textId="71368A69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2,333,730.00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FB648" w14:textId="579916F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0E969" w14:textId="5FC23F92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7215D" w14:textId="3A0D9AC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4,796,632.80 </w:t>
            </w:r>
          </w:p>
        </w:tc>
      </w:tr>
      <w:tr w:rsidR="00645756" w:rsidRPr="00645756" w14:paraId="172D8B6B" w14:textId="77777777" w:rsidTr="0064575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71D2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223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3E4D" w14:textId="410340AE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340,900.00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D607" w14:textId="48102E4B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C460" w14:textId="6E3ED65B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7E33" w14:textId="2436C61A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56E0" w14:textId="2DF23B8D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405,900.00 </w:t>
            </w:r>
          </w:p>
        </w:tc>
      </w:tr>
      <w:tr w:rsidR="00645756" w:rsidRPr="00645756" w14:paraId="7A67650D" w14:textId="77777777" w:rsidTr="0064575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A374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5DF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84A7" w14:textId="40E34C1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1,480,864.00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0164" w14:textId="6AEAED36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1,340,000.00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2395" w14:textId="6726C521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E531" w14:textId="27E12E8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6F61" w14:textId="04C3E451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2,820,864.00 </w:t>
            </w:r>
          </w:p>
        </w:tc>
      </w:tr>
      <w:tr w:rsidR="00645756" w:rsidRPr="00645756" w14:paraId="0079DDE7" w14:textId="77777777" w:rsidTr="0064575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8B45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D777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E4BF" w14:textId="506A7B9B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401,138.80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383F" w14:textId="3B8DBC75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885,275.00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9FF5" w14:textId="60AAEA99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3008" w14:textId="51780A00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54F5" w14:textId="0524720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1,286,413.80 </w:t>
            </w:r>
          </w:p>
        </w:tc>
      </w:tr>
      <w:tr w:rsidR="00645756" w:rsidRPr="00645756" w14:paraId="1EEBABB1" w14:textId="77777777" w:rsidTr="0064575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287A9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46B2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F9F8" w14:textId="2B3F9915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A117" w14:textId="560AA409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F541" w14:textId="17A8096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88DE" w14:textId="38680FEB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86B6" w14:textId="7E6A1BF1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2,700.00 </w:t>
            </w:r>
          </w:p>
        </w:tc>
      </w:tr>
      <w:tr w:rsidR="00645756" w:rsidRPr="00645756" w14:paraId="44C19C9E" w14:textId="77777777" w:rsidTr="0064575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674A6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EBDB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 Española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0B73" w14:textId="1A454343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FAEB" w14:textId="6E45990E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40,755.00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CF6E" w14:textId="7F5BD506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9970" w14:textId="422851E0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156F" w14:textId="55885F6E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280,755.00 </w:t>
            </w:r>
          </w:p>
        </w:tc>
      </w:tr>
      <w:tr w:rsidR="00645756" w:rsidRPr="00645756" w14:paraId="00142213" w14:textId="77777777" w:rsidTr="00645756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A23CFB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A3A68" w14:textId="4F0528B8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F7DB9" w14:textId="6AE3AFFB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70929" w14:textId="49CC7087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73366" w14:textId="3B31CEF4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BB12A" w14:textId="099BC6EC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</w:tr>
      <w:tr w:rsidR="00645756" w:rsidRPr="00645756" w14:paraId="0EF66313" w14:textId="77777777" w:rsidTr="00645756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BD8BE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6C074" w14:textId="5705C85D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1D193" w14:textId="287C2E83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1A70E" w14:textId="0CDC272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295D4" w14:textId="1A163A9D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AECBD" w14:textId="5F8A11F1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</w:tr>
      <w:tr w:rsidR="00645756" w:rsidRPr="00645756" w14:paraId="65C3D60F" w14:textId="77777777" w:rsidTr="0064575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3901E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9BED" w14:textId="77777777" w:rsidR="00645756" w:rsidRPr="00645756" w:rsidRDefault="00645756" w:rsidP="0064575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A272" w14:textId="37AC4EEC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D6F7" w14:textId="567FE5C5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9C9E" w14:textId="67F5D861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3FE7" w14:textId="2A2CA49E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46FA" w14:textId="39286F3F" w:rsidR="00645756" w:rsidRPr="00645756" w:rsidRDefault="00645756" w:rsidP="0064575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457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4208E9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p w14:paraId="4B371349" w14:textId="2648CD62" w:rsidR="00E12215" w:rsidRDefault="00E12215" w:rsidP="00E1221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2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447"/>
        <w:gridCol w:w="998"/>
        <w:gridCol w:w="1527"/>
        <w:gridCol w:w="1527"/>
        <w:gridCol w:w="1528"/>
      </w:tblGrid>
      <w:tr w:rsidR="00E12215" w:rsidRPr="00E12215" w14:paraId="6DA29675" w14:textId="77777777" w:rsidTr="00CB625E">
        <w:trPr>
          <w:trHeight w:val="20"/>
          <w:tblHeader/>
        </w:trPr>
        <w:tc>
          <w:tcPr>
            <w:tcW w:w="1793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7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2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CB625E">
        <w:trPr>
          <w:trHeight w:val="20"/>
          <w:tblHeader/>
        </w:trPr>
        <w:tc>
          <w:tcPr>
            <w:tcW w:w="1793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5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28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CB625E">
        <w:trPr>
          <w:trHeight w:val="20"/>
          <w:tblHeader/>
        </w:trPr>
        <w:tc>
          <w:tcPr>
            <w:tcW w:w="1793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8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527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F0AE0" w:rsidRPr="00E12215" w14:paraId="5C9501ED" w14:textId="77777777" w:rsidTr="004F0AE0">
        <w:trPr>
          <w:trHeight w:val="20"/>
          <w:tblHeader/>
        </w:trPr>
        <w:tc>
          <w:tcPr>
            <w:tcW w:w="1793" w:type="dxa"/>
            <w:shd w:val="clear" w:color="auto" w:fill="BFBFBF" w:themeFill="background1" w:themeFillShade="BF"/>
            <w:vAlign w:val="center"/>
          </w:tcPr>
          <w:p w14:paraId="5A85E6FC" w14:textId="70B09B25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14:paraId="5DFB332D" w14:textId="6C00C3EA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1,127,229,182.27 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08E73931" w14:textId="74513770" w:rsidR="004F0AE0" w:rsidRPr="00E12215" w:rsidRDefault="004F0AE0" w:rsidP="004F0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365,882</w:t>
            </w: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2989B93C" w14:textId="313868C9" w:rsidR="004F0AE0" w:rsidRPr="00E12215" w:rsidRDefault="004F0AE0" w:rsidP="004F0A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219,442,534.11</w:t>
            </w: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239401A0" w14:textId="3B751790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681,125,989.45</w:t>
            </w: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000F0DE7" w14:textId="5A7709FF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2,027,824,705.83</w:t>
            </w: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4F0AE0" w:rsidRPr="00E12215" w14:paraId="3AF4CCA3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367D355" w14:textId="77777777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1233FE4" w14:textId="7642D395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1,076,381,260.35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056E9C4" w14:textId="4ED74964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152D92C" w14:textId="67373764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2624613" w14:textId="709DC59D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1F271F9F" w14:textId="420F4C6E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1,076,381,260.35 </w:t>
            </w:r>
          </w:p>
        </w:tc>
      </w:tr>
      <w:tr w:rsidR="004F0AE0" w:rsidRPr="00E12215" w14:paraId="7FE334F2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C5B53B1" w14:textId="77777777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6A69C45" w14:textId="29D2B6B4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0C5DD48" w14:textId="0E13AB22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77,812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1C6E14F" w14:textId="3CA3969E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57,570,230.70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5BE587C" w14:textId="312074FC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157,933,260.63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2555D25" w14:textId="14DD39C7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215,503,491.33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4F0AE0" w:rsidRPr="00E12215" w14:paraId="6DFAFC43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4A732651" w14:textId="77777777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E91DBC0" w14:textId="04EDAB92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CA824EB" w14:textId="030FA5CD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4,234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99D5936" w14:textId="7C965511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2,017,650.00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474409E" w14:textId="77C5BE62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32,108,392.25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7ADF9243" w14:textId="5735AEC1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34,126,042.25</w:t>
            </w: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4F0AE0" w:rsidRPr="00E12215" w14:paraId="2703E9C9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0AC9425" w14:textId="0953D2E0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7BC2863" w14:textId="350A060A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8660261" w14:textId="7D469971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21,882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C7627B7" w14:textId="5111FCC7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15,354,246.55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BDE8793" w14:textId="33C2168B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21,494,866.15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303E20D" w14:textId="1FD204FF" w:rsidR="004F0AE0" w:rsidRPr="00E12215" w:rsidRDefault="00BA7CC3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41,849,112.70</w:t>
            </w:r>
            <w:r w:rsidR="004F0AE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0AE0" w:rsidRPr="00E12215" w14:paraId="119766B2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C2C8E6C" w14:textId="5DF234E4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460AD3C" w14:textId="7B8EBBA5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646.42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BE2B521" w14:textId="65D2DE7E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10,300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34BA721" w14:textId="51199D17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5,023,497.98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8576572" w14:textId="183D649A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BA7CC3">
              <w:rPr>
                <w:rFonts w:ascii="Arial Narrow" w:hAnsi="Arial Narrow" w:cs="Arial"/>
                <w:color w:val="000000"/>
                <w:sz w:val="18"/>
                <w:szCs w:val="18"/>
              </w:rPr>
              <w:t>37,824,691.13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5BDB92B1" w14:textId="1F56D850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BA7CC3">
              <w:rPr>
                <w:rFonts w:ascii="Arial Narrow" w:hAnsi="Arial Narrow" w:cs="Arial"/>
                <w:color w:val="000000"/>
                <w:sz w:val="18"/>
                <w:szCs w:val="18"/>
              </w:rPr>
              <w:t>42,848,835.53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0AE0" w:rsidRPr="00E12215" w14:paraId="15999E41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784B7EB2" w14:textId="6D1558D2" w:rsidR="004F0AE0" w:rsidRPr="00E12215" w:rsidRDefault="004F0AE0" w:rsidP="004F0A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Other FOs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348702C" w14:textId="5F1DF665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45,847,275.50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D04050E" w14:textId="54B00032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251,654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E429EFC" w14:textId="1C71EC04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139,476,908.88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CDA2386" w14:textId="4AB10A50" w:rsidR="004F0AE0" w:rsidRPr="00E12215" w:rsidRDefault="004F0AE0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BA7CC3">
              <w:rPr>
                <w:rFonts w:ascii="Arial Narrow" w:hAnsi="Arial Narrow" w:cs="Arial"/>
                <w:color w:val="000000"/>
                <w:sz w:val="18"/>
                <w:szCs w:val="18"/>
              </w:rPr>
              <w:t>431,791,779.29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7918B4C" w14:textId="3A6AE21F" w:rsidR="004F0AE0" w:rsidRPr="00E12215" w:rsidRDefault="00BA7CC3" w:rsidP="004F0A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617,115,963.67</w:t>
            </w:r>
            <w:r w:rsidR="004F0AE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44F997" w14:textId="6A67F604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1</w:t>
      </w:r>
      <w:r w:rsidR="00BA7CC3">
        <w:rPr>
          <w:rFonts w:ascii="Arial" w:hAnsi="Arial" w:cs="Arial"/>
          <w:i/>
          <w:sz w:val="16"/>
          <w:szCs w:val="24"/>
        </w:rPr>
        <w:t>5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2866338" w14:textId="77777777" w:rsidR="00DC3966" w:rsidRDefault="00DC3966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06FF21E7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9F347B">
        <w:rPr>
          <w:rFonts w:ascii="Arial" w:hAnsi="Arial" w:cs="Arial"/>
          <w:sz w:val="24"/>
          <w:szCs w:val="24"/>
        </w:rPr>
        <w:t>.</w:t>
      </w:r>
      <w:r w:rsidR="00BC1321">
        <w:rPr>
          <w:rFonts w:ascii="Arial" w:hAnsi="Arial" w:cs="Arial"/>
          <w:sz w:val="24"/>
          <w:szCs w:val="24"/>
        </w:rPr>
        <w:t>07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743D059D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322428">
        <w:rPr>
          <w:rFonts w:ascii="Arial" w:hAnsi="Arial" w:cs="Arial"/>
          <w:sz w:val="24"/>
          <w:szCs w:val="24"/>
        </w:rPr>
        <w:t>45</w:t>
      </w:r>
      <w:r w:rsidR="000C534A">
        <w:rPr>
          <w:rFonts w:ascii="Arial" w:hAnsi="Arial" w:cs="Arial"/>
          <w:sz w:val="24"/>
          <w:szCs w:val="24"/>
        </w:rPr>
        <w:t>.85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r w:rsidR="009B4DE9">
        <w:rPr>
          <w:rFonts w:ascii="Arial" w:hAnsi="Arial" w:cs="Arial"/>
          <w:sz w:val="24"/>
          <w:szCs w:val="24"/>
        </w:rPr>
        <w:t>Maring</w:t>
      </w:r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44CCD948" w14:textId="77777777" w:rsidR="00DB5E1F" w:rsidRPr="00A96D80" w:rsidRDefault="00DB5E1F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5465B35E" w:rsidR="00C03A3E" w:rsidRPr="00A96D80" w:rsidRDefault="00BA7CC3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82,046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77,812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4,234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Visayas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7F4D4D80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A7CC3">
        <w:rPr>
          <w:rFonts w:ascii="Arial" w:hAnsi="Arial" w:cs="Arial"/>
          <w:sz w:val="24"/>
          <w:szCs w:val="24"/>
        </w:rPr>
        <w:t>32,182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1198327F" w:rsidR="00C03A3E" w:rsidRPr="00A96D80" w:rsidRDefault="00BA7CC3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251,654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 xml:space="preserve">STS “Maring”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680F1A32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A7CC3">
        <w:rPr>
          <w:rFonts w:ascii="Arial" w:hAnsi="Arial" w:cs="Arial"/>
          <w:sz w:val="24"/>
          <w:szCs w:val="24"/>
        </w:rPr>
        <w:t>681,13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2021</w:t>
            </w:r>
          </w:p>
        </w:tc>
        <w:tc>
          <w:tcPr>
            <w:tcW w:w="6682" w:type="dxa"/>
          </w:tcPr>
          <w:p w14:paraId="6675D5AA" w14:textId="023B1B9B" w:rsidR="003145F3" w:rsidRPr="008B6FC9" w:rsidRDefault="003145F3" w:rsidP="003145F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>
              <w:rPr>
                <w:rFonts w:ascii="Arial" w:hAnsi="Arial" w:cs="Arial"/>
                <w:sz w:val="20"/>
                <w:szCs w:val="20"/>
              </w:rPr>
              <w:t>is coordinating with NRLMB for loading 3,000 kitted FPPs to container vans for replenishment of stockpiles in the province of Palawan in partnership with World Food Program (WFP).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1B975649" w14:textId="77777777" w:rsidR="008F7681" w:rsidRDefault="00322AE7" w:rsidP="008F768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an o</w:t>
            </w:r>
            <w:r w:rsidRPr="00322AE7">
              <w:rPr>
                <w:rFonts w:ascii="Arial" w:hAnsi="Arial" w:cs="Arial"/>
                <w:sz w:val="20"/>
                <w:szCs w:val="20"/>
              </w:rPr>
              <w:t>ngoing distribution of 1,100 FFPs out of 1,700 allocated FFPs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AE7">
              <w:rPr>
                <w:rFonts w:ascii="Arial" w:hAnsi="Arial" w:cs="Arial"/>
                <w:sz w:val="20"/>
                <w:szCs w:val="20"/>
              </w:rPr>
              <w:t>the DSWD. The remaining 600 FFPs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hauled by the </w:t>
            </w:r>
            <w:r w:rsidRPr="00322AE7">
              <w:rPr>
                <w:rFonts w:ascii="Arial" w:hAnsi="Arial" w:cs="Arial"/>
                <w:sz w:val="20"/>
                <w:szCs w:val="20"/>
              </w:rPr>
              <w:t xml:space="preserve">LGU </w:t>
            </w:r>
            <w:r w:rsidR="00FA2C42">
              <w:rPr>
                <w:rFonts w:ascii="Arial" w:hAnsi="Arial" w:cs="Arial"/>
                <w:sz w:val="20"/>
                <w:szCs w:val="20"/>
              </w:rPr>
              <w:t>today</w:t>
            </w:r>
            <w:r w:rsidRPr="00322A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1E8CC7" w14:textId="1C737CE6" w:rsidR="008F7681" w:rsidRPr="008F7681" w:rsidRDefault="008F7681" w:rsidP="008F768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Pr="008F76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7681">
              <w:rPr>
                <w:rFonts w:ascii="Arial" w:hAnsi="Arial" w:cs="Arial"/>
                <w:sz w:val="20"/>
                <w:szCs w:val="20"/>
              </w:rPr>
              <w:t>000 FFP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768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>the Provincial Social Welfare and Development Office (PSWDO) provided and being distributed in Narra,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251C478A" w:rsidR="003455B2" w:rsidRPr="00570F8D" w:rsidRDefault="003455B2" w:rsidP="00570F8D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are 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603AF353" w14:textId="77777777" w:rsidR="003455B2" w:rsidRPr="000008F8" w:rsidRDefault="003455B2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“Maring”.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lastRenderedPageBreak/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67C62054" w:rsidR="00CD0994" w:rsidRPr="00CD0994" w:rsidRDefault="00CD0994" w:rsidP="00CD099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is coordinating 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3D76AD8" w14:textId="23DC69E9" w:rsidR="009E0E0F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C71FB04" w14:textId="70D1512D" w:rsidR="00645756" w:rsidRDefault="0085310E" w:rsidP="00645756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Documentation</w:t>
      </w:r>
    </w:p>
    <w:p w14:paraId="43274430" w14:textId="6F4FE7ED" w:rsidR="00645756" w:rsidRDefault="0085310E" w:rsidP="0064575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noProof/>
          <w:color w:val="00206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E7357DF" wp14:editId="2603C1FB">
            <wp:simplePos x="0" y="0"/>
            <wp:positionH relativeFrom="margin">
              <wp:posOffset>1051560</wp:posOffset>
            </wp:positionH>
            <wp:positionV relativeFrom="paragraph">
              <wp:posOffset>172085</wp:posOffset>
            </wp:positionV>
            <wp:extent cx="4542155" cy="3406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5EF48" w14:textId="6FEF4CBE" w:rsidR="00645756" w:rsidRDefault="00645756" w:rsidP="0064575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7AAE62" w14:textId="482284DD" w:rsidR="00645756" w:rsidRDefault="00645756" w:rsidP="0064575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FFAF7E" w14:textId="0920DFB2" w:rsidR="00645756" w:rsidRDefault="00645756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2E50A3B" w14:textId="511589B8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4251264B" w14:textId="63393C39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5C04E2E5" w14:textId="005832F4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57B677B" w14:textId="333A69F0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4DB7FB02" w14:textId="127AD7C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1420E00" w14:textId="7F85D56E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1C69E6C" w14:textId="7FE54213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A0925EE" w14:textId="2ED7A49A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6A7F802" w14:textId="78BFBBDD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2796109" w14:textId="31A5D1C6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662831B" w14:textId="4CCBA143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B685438" w14:textId="39EFDDFC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3299780B" w14:textId="449F08B3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41D988A" w14:textId="6A547823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B1299D3" w14:textId="2CBD510D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2E96306" w14:textId="6BEAFC54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9F9B97F" w14:textId="7DB86CFB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73C6FE0" w14:textId="75D0278E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noProof/>
          <w:color w:val="00206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D9CEDFD" wp14:editId="1319CA3B">
            <wp:simplePos x="0" y="0"/>
            <wp:positionH relativeFrom="margin">
              <wp:posOffset>1035050</wp:posOffset>
            </wp:positionH>
            <wp:positionV relativeFrom="paragraph">
              <wp:posOffset>13970</wp:posOffset>
            </wp:positionV>
            <wp:extent cx="4571365" cy="34290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0BD99" w14:textId="2FCD6609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29F3063" w14:textId="4840EC0E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8D70E98" w14:textId="04F0E89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4BA8CE81" w14:textId="6822517D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8884553" w14:textId="1ED87272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0AB4B77" w14:textId="05BB788C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725822D" w14:textId="18426AA8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6B63B86" w14:textId="04425B3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97C721E" w14:textId="01DDB6BF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F8056B7" w14:textId="7185F6AF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D1D18F5" w14:textId="3F8FD905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AF2609A" w14:textId="1C484238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B3388E6" w14:textId="617D8DC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312A3E43" w14:textId="6356A40C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435D7FE" w14:textId="21A5E3D9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6212F1B" w14:textId="7644C768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3515DDC6" w14:textId="69F993B1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F606537" w14:textId="389C1906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3229A19" w14:textId="3440F6D0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999AB79" w14:textId="425DAA6D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1D9B2A3" w14:textId="51873C31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2A9D1C5" w14:textId="601676C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DB33AB" wp14:editId="346A978A">
            <wp:simplePos x="0" y="0"/>
            <wp:positionH relativeFrom="margin">
              <wp:posOffset>996950</wp:posOffset>
            </wp:positionH>
            <wp:positionV relativeFrom="paragraph">
              <wp:posOffset>3175</wp:posOffset>
            </wp:positionV>
            <wp:extent cx="4597400" cy="3448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A8748" w14:textId="0F3E3225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C270D92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3EBBE6A8" w14:textId="6FE15A7B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E24641F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3A598466" w14:textId="05A63EC2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2F3EF18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4221FC6" w14:textId="31E19D44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62E0B98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32FA79C5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CAA2AAC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43802ED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B454C0C" w14:textId="19808728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40CC6601" w14:textId="58D7991E" w:rsidR="00645756" w:rsidRDefault="00645756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6219F228" w14:textId="7B5813D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7CFE2453" w14:textId="3CC482DB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59DCEB64" w14:textId="0B3F4162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14BC0F37" w14:textId="0DA076D1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5FFAEE7D" w14:textId="389C24F3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59425B90" w14:textId="61BF829F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0B02E967" w14:textId="77777777" w:rsidR="0085310E" w:rsidRDefault="0085310E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FCAF851" w14:textId="5E4E8790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BC48A90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CD4FBDC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55A1C" w14:textId="77777777" w:rsidR="0084764A" w:rsidRPr="0084764A" w:rsidRDefault="0084764A" w:rsidP="0084764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6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DIANE C. PELEGRINO</w:t>
            </w:r>
          </w:p>
          <w:p w14:paraId="5964BA13" w14:textId="77777777" w:rsidR="0084764A" w:rsidRPr="0084764A" w:rsidRDefault="0084764A" w:rsidP="0084764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64A"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  <w:p w14:paraId="1E22CA82" w14:textId="77777777" w:rsidR="00712712" w:rsidRDefault="0084764A" w:rsidP="0084764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64A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4EBCB16B" w14:textId="77777777" w:rsidR="0084764A" w:rsidRPr="0084764A" w:rsidRDefault="0084764A" w:rsidP="0084764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64A"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3BC8B70A" w:rsidR="0084764A" w:rsidRPr="008F6E9B" w:rsidRDefault="0084764A" w:rsidP="0084764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24CEE3" w:rsidR="007F2E58" w:rsidRPr="00D23BDC" w:rsidRDefault="00645756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7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LESLIE R. JAWILI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11"/>
      <w:footerReference w:type="default" r:id="rId12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EE79" w14:textId="77777777" w:rsidR="00C73503" w:rsidRDefault="00C73503" w:rsidP="00C12445">
      <w:pPr>
        <w:spacing w:after="0" w:line="240" w:lineRule="auto"/>
      </w:pPr>
      <w:r>
        <w:separator/>
      </w:r>
    </w:p>
  </w:endnote>
  <w:endnote w:type="continuationSeparator" w:id="0">
    <w:p w14:paraId="5D0F0F4D" w14:textId="77777777" w:rsidR="00C73503" w:rsidRDefault="00C7350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26FC9" w:rsidRPr="00905CC2" w:rsidRDefault="00826FC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8046370" w:rsidR="00826FC9" w:rsidRPr="002B518B" w:rsidRDefault="00826FC9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#4</w:t>
            </w:r>
            <w:r w:rsidRPr="00D41206">
              <w:rPr>
                <w:sz w:val="16"/>
                <w:szCs w:val="20"/>
              </w:rPr>
              <w:t xml:space="preserve"> 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“Maring”</w:t>
            </w:r>
            <w:r>
              <w:rPr>
                <w:sz w:val="16"/>
                <w:szCs w:val="20"/>
              </w:rPr>
              <w:t xml:space="preserve"> as of 15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C3C4" w14:textId="77777777" w:rsidR="00C73503" w:rsidRDefault="00C73503" w:rsidP="00C12445">
      <w:pPr>
        <w:spacing w:after="0" w:line="240" w:lineRule="auto"/>
      </w:pPr>
      <w:r>
        <w:separator/>
      </w:r>
    </w:p>
  </w:footnote>
  <w:footnote w:type="continuationSeparator" w:id="0">
    <w:p w14:paraId="7F25EC82" w14:textId="77777777" w:rsidR="00C73503" w:rsidRDefault="00C7350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826FC9" w:rsidRDefault="00826FC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26FC9" w:rsidRDefault="00826FC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26FC9" w:rsidRDefault="00826FC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26FC9" w:rsidRDefault="00826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7"/>
  </w:num>
  <w:num w:numId="14">
    <w:abstractNumId w:val="28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6"/>
  </w:num>
  <w:num w:numId="23">
    <w:abstractNumId w:val="33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18"/>
  </w:num>
  <w:num w:numId="31">
    <w:abstractNumId w:val="16"/>
  </w:num>
  <w:num w:numId="32">
    <w:abstractNumId w:val="13"/>
  </w:num>
  <w:num w:numId="33">
    <w:abstractNumId w:val="25"/>
  </w:num>
  <w:num w:numId="34">
    <w:abstractNumId w:val="34"/>
  </w:num>
  <w:num w:numId="35">
    <w:abstractNumId w:val="17"/>
  </w:num>
  <w:num w:numId="36">
    <w:abstractNumId w:val="2"/>
  </w:num>
  <w:num w:numId="37">
    <w:abstractNumId w:val="31"/>
  </w:num>
  <w:num w:numId="38">
    <w:abstractNumId w:val="22"/>
  </w:num>
  <w:num w:numId="39">
    <w:abstractNumId w:val="29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7189"/>
    <w:rsid w:val="00061D74"/>
    <w:rsid w:val="0006355B"/>
    <w:rsid w:val="00065785"/>
    <w:rsid w:val="0007400B"/>
    <w:rsid w:val="00082A9D"/>
    <w:rsid w:val="0008449C"/>
    <w:rsid w:val="00090E2B"/>
    <w:rsid w:val="00090EBE"/>
    <w:rsid w:val="00094182"/>
    <w:rsid w:val="00095132"/>
    <w:rsid w:val="000A2577"/>
    <w:rsid w:val="000A6317"/>
    <w:rsid w:val="000A7A7F"/>
    <w:rsid w:val="000B056E"/>
    <w:rsid w:val="000B1347"/>
    <w:rsid w:val="000B311B"/>
    <w:rsid w:val="000B3D69"/>
    <w:rsid w:val="000C2682"/>
    <w:rsid w:val="000C2705"/>
    <w:rsid w:val="000C3729"/>
    <w:rsid w:val="000C3F72"/>
    <w:rsid w:val="000C4018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067A"/>
    <w:rsid w:val="001B231E"/>
    <w:rsid w:val="001B27B2"/>
    <w:rsid w:val="001B2883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53E1"/>
    <w:rsid w:val="002416C3"/>
    <w:rsid w:val="002418FA"/>
    <w:rsid w:val="0024636C"/>
    <w:rsid w:val="00247136"/>
    <w:rsid w:val="0024768B"/>
    <w:rsid w:val="00251F98"/>
    <w:rsid w:val="00254EFD"/>
    <w:rsid w:val="002552BB"/>
    <w:rsid w:val="00261A8B"/>
    <w:rsid w:val="0026231F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B0E52"/>
    <w:rsid w:val="002B3112"/>
    <w:rsid w:val="002B3899"/>
    <w:rsid w:val="002B518B"/>
    <w:rsid w:val="002C18F8"/>
    <w:rsid w:val="002C1FC5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BA7"/>
    <w:rsid w:val="003D7289"/>
    <w:rsid w:val="003E3D36"/>
    <w:rsid w:val="003E79B6"/>
    <w:rsid w:val="003E7D52"/>
    <w:rsid w:val="003F1BF2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3BC7"/>
    <w:rsid w:val="004208E9"/>
    <w:rsid w:val="00425177"/>
    <w:rsid w:val="004259B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CF9"/>
    <w:rsid w:val="00485021"/>
    <w:rsid w:val="004869FE"/>
    <w:rsid w:val="00486E0B"/>
    <w:rsid w:val="00491BE3"/>
    <w:rsid w:val="004926B5"/>
    <w:rsid w:val="00492D00"/>
    <w:rsid w:val="00495C33"/>
    <w:rsid w:val="004A0CAD"/>
    <w:rsid w:val="004A633D"/>
    <w:rsid w:val="004A792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E0597"/>
    <w:rsid w:val="004E0B17"/>
    <w:rsid w:val="004E1C60"/>
    <w:rsid w:val="004F05DE"/>
    <w:rsid w:val="004F0AE0"/>
    <w:rsid w:val="0050584B"/>
    <w:rsid w:val="00507454"/>
    <w:rsid w:val="00510E9D"/>
    <w:rsid w:val="00511164"/>
    <w:rsid w:val="0051198A"/>
    <w:rsid w:val="00516B40"/>
    <w:rsid w:val="0052239C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B8"/>
    <w:rsid w:val="00594233"/>
    <w:rsid w:val="00597F5C"/>
    <w:rsid w:val="005A242E"/>
    <w:rsid w:val="005A4529"/>
    <w:rsid w:val="005B2DC1"/>
    <w:rsid w:val="005B62F7"/>
    <w:rsid w:val="005C3C2B"/>
    <w:rsid w:val="005C63D4"/>
    <w:rsid w:val="005D21DC"/>
    <w:rsid w:val="005D2515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1301A"/>
    <w:rsid w:val="00613BAA"/>
    <w:rsid w:val="00614FF2"/>
    <w:rsid w:val="00615B8C"/>
    <w:rsid w:val="00616B70"/>
    <w:rsid w:val="006217C3"/>
    <w:rsid w:val="006258C6"/>
    <w:rsid w:val="00630F7A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6428"/>
    <w:rsid w:val="006C082C"/>
    <w:rsid w:val="006C3E50"/>
    <w:rsid w:val="006C6C11"/>
    <w:rsid w:val="006D0AE8"/>
    <w:rsid w:val="006D15AD"/>
    <w:rsid w:val="006D24A7"/>
    <w:rsid w:val="006D2CB0"/>
    <w:rsid w:val="006D3988"/>
    <w:rsid w:val="006E5309"/>
    <w:rsid w:val="006E6F6F"/>
    <w:rsid w:val="006F1580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102F"/>
    <w:rsid w:val="00724C56"/>
    <w:rsid w:val="00724F9F"/>
    <w:rsid w:val="00732FC9"/>
    <w:rsid w:val="007332C3"/>
    <w:rsid w:val="00736AE4"/>
    <w:rsid w:val="00741EC2"/>
    <w:rsid w:val="00742AA1"/>
    <w:rsid w:val="007455BA"/>
    <w:rsid w:val="007456CB"/>
    <w:rsid w:val="00747436"/>
    <w:rsid w:val="0074783B"/>
    <w:rsid w:val="00753F98"/>
    <w:rsid w:val="00754837"/>
    <w:rsid w:val="007552D7"/>
    <w:rsid w:val="00757281"/>
    <w:rsid w:val="00762805"/>
    <w:rsid w:val="00766A61"/>
    <w:rsid w:val="00767815"/>
    <w:rsid w:val="00771BF3"/>
    <w:rsid w:val="00781118"/>
    <w:rsid w:val="007813C1"/>
    <w:rsid w:val="007820C2"/>
    <w:rsid w:val="00782941"/>
    <w:rsid w:val="00783991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E31C6"/>
    <w:rsid w:val="007F095A"/>
    <w:rsid w:val="007F2E58"/>
    <w:rsid w:val="007F426E"/>
    <w:rsid w:val="007F5F08"/>
    <w:rsid w:val="0080412B"/>
    <w:rsid w:val="008112E7"/>
    <w:rsid w:val="008153ED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4A6E"/>
    <w:rsid w:val="0084764A"/>
    <w:rsid w:val="0085310E"/>
    <w:rsid w:val="008542F8"/>
    <w:rsid w:val="0085601D"/>
    <w:rsid w:val="00860EDF"/>
    <w:rsid w:val="008731F5"/>
    <w:rsid w:val="008740FD"/>
    <w:rsid w:val="0088127C"/>
    <w:rsid w:val="008874D4"/>
    <w:rsid w:val="00887547"/>
    <w:rsid w:val="00892479"/>
    <w:rsid w:val="00892D49"/>
    <w:rsid w:val="008939DD"/>
    <w:rsid w:val="00896843"/>
    <w:rsid w:val="00897003"/>
    <w:rsid w:val="008A483C"/>
    <w:rsid w:val="008A4D9B"/>
    <w:rsid w:val="008A5D70"/>
    <w:rsid w:val="008B2ADD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104A1"/>
    <w:rsid w:val="0091200D"/>
    <w:rsid w:val="0091235D"/>
    <w:rsid w:val="00914086"/>
    <w:rsid w:val="00914ACB"/>
    <w:rsid w:val="00916DA9"/>
    <w:rsid w:val="009172C3"/>
    <w:rsid w:val="0092079B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40AE"/>
    <w:rsid w:val="00974DFD"/>
    <w:rsid w:val="00975B91"/>
    <w:rsid w:val="00976563"/>
    <w:rsid w:val="00976C92"/>
    <w:rsid w:val="00981231"/>
    <w:rsid w:val="00981DD4"/>
    <w:rsid w:val="0098285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1AE9"/>
    <w:rsid w:val="009D5686"/>
    <w:rsid w:val="009D60CF"/>
    <w:rsid w:val="009E0E0F"/>
    <w:rsid w:val="009E118A"/>
    <w:rsid w:val="009E756C"/>
    <w:rsid w:val="009F347B"/>
    <w:rsid w:val="009F49D8"/>
    <w:rsid w:val="00A049F2"/>
    <w:rsid w:val="00A06F34"/>
    <w:rsid w:val="00A1384A"/>
    <w:rsid w:val="00A13F40"/>
    <w:rsid w:val="00A14872"/>
    <w:rsid w:val="00A15EC3"/>
    <w:rsid w:val="00A201C6"/>
    <w:rsid w:val="00A27933"/>
    <w:rsid w:val="00A33265"/>
    <w:rsid w:val="00A41455"/>
    <w:rsid w:val="00A518DA"/>
    <w:rsid w:val="00A52A8B"/>
    <w:rsid w:val="00A537BA"/>
    <w:rsid w:val="00A543A8"/>
    <w:rsid w:val="00A54BF1"/>
    <w:rsid w:val="00A56308"/>
    <w:rsid w:val="00A64291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D80"/>
    <w:rsid w:val="00A97511"/>
    <w:rsid w:val="00A97774"/>
    <w:rsid w:val="00AA2695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9261A"/>
    <w:rsid w:val="00B93569"/>
    <w:rsid w:val="00B97D05"/>
    <w:rsid w:val="00BA03D5"/>
    <w:rsid w:val="00BA40A3"/>
    <w:rsid w:val="00BA7CC3"/>
    <w:rsid w:val="00BB4645"/>
    <w:rsid w:val="00BC1321"/>
    <w:rsid w:val="00BD0E2B"/>
    <w:rsid w:val="00BD4107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16E0"/>
    <w:rsid w:val="00C56A49"/>
    <w:rsid w:val="00C64E89"/>
    <w:rsid w:val="00C67272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F5D70"/>
    <w:rsid w:val="00CF6537"/>
    <w:rsid w:val="00D0253F"/>
    <w:rsid w:val="00D03CC0"/>
    <w:rsid w:val="00D05772"/>
    <w:rsid w:val="00D10A42"/>
    <w:rsid w:val="00D10A86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7ED"/>
    <w:rsid w:val="00D501B5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534D"/>
    <w:rsid w:val="00E45649"/>
    <w:rsid w:val="00E525DD"/>
    <w:rsid w:val="00E56B94"/>
    <w:rsid w:val="00E5712F"/>
    <w:rsid w:val="00E60120"/>
    <w:rsid w:val="00E60B47"/>
    <w:rsid w:val="00E60B6A"/>
    <w:rsid w:val="00E64AE2"/>
    <w:rsid w:val="00E71481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1CF2"/>
    <w:rsid w:val="00E92275"/>
    <w:rsid w:val="00E95BF0"/>
    <w:rsid w:val="00E973EE"/>
    <w:rsid w:val="00EA2F07"/>
    <w:rsid w:val="00EA2F1F"/>
    <w:rsid w:val="00EA44EB"/>
    <w:rsid w:val="00EA57DE"/>
    <w:rsid w:val="00EA7032"/>
    <w:rsid w:val="00EB0824"/>
    <w:rsid w:val="00EB225E"/>
    <w:rsid w:val="00EB2985"/>
    <w:rsid w:val="00EB4A23"/>
    <w:rsid w:val="00EC3BD3"/>
    <w:rsid w:val="00EC7BA0"/>
    <w:rsid w:val="00EC7F4C"/>
    <w:rsid w:val="00ED0311"/>
    <w:rsid w:val="00ED11B4"/>
    <w:rsid w:val="00ED331B"/>
    <w:rsid w:val="00ED3DD5"/>
    <w:rsid w:val="00ED440A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227B"/>
    <w:rsid w:val="00F13B3E"/>
    <w:rsid w:val="00F2055B"/>
    <w:rsid w:val="00F20CBA"/>
    <w:rsid w:val="00F25ACF"/>
    <w:rsid w:val="00F30F14"/>
    <w:rsid w:val="00F32C94"/>
    <w:rsid w:val="00F3767C"/>
    <w:rsid w:val="00F401CA"/>
    <w:rsid w:val="00F41009"/>
    <w:rsid w:val="00F42103"/>
    <w:rsid w:val="00F4327F"/>
    <w:rsid w:val="00F44698"/>
    <w:rsid w:val="00F4590C"/>
    <w:rsid w:val="00F5230A"/>
    <w:rsid w:val="00F525C3"/>
    <w:rsid w:val="00F528D2"/>
    <w:rsid w:val="00F6257E"/>
    <w:rsid w:val="00F63309"/>
    <w:rsid w:val="00F63380"/>
    <w:rsid w:val="00F638DB"/>
    <w:rsid w:val="00F63C48"/>
    <w:rsid w:val="00F64E68"/>
    <w:rsid w:val="00F71900"/>
    <w:rsid w:val="00F75026"/>
    <w:rsid w:val="00F8166E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839"/>
    <w:rsid w:val="00FE0037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AFF3-48C5-48D2-9450-FF33BEC3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4</cp:revision>
  <cp:lastPrinted>2021-07-05T02:11:00Z</cp:lastPrinted>
  <dcterms:created xsi:type="dcterms:W3CDTF">2021-10-15T05:49:00Z</dcterms:created>
  <dcterms:modified xsi:type="dcterms:W3CDTF">2021-10-15T09:45:00Z</dcterms:modified>
</cp:coreProperties>
</file>