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73178783" w:rsidR="006E75A7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313501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E75A7">
        <w:rPr>
          <w:rFonts w:ascii="Arial" w:hAnsi="Arial" w:cs="Arial"/>
          <w:b/>
          <w:sz w:val="32"/>
          <w:szCs w:val="32"/>
        </w:rPr>
        <w:t>Fire Incident</w:t>
      </w:r>
    </w:p>
    <w:p w14:paraId="1BD09196" w14:textId="01DFD948" w:rsidR="006E75A7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75A7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6E75A7">
        <w:rPr>
          <w:rFonts w:ascii="Arial" w:hAnsi="Arial" w:cs="Arial"/>
          <w:b/>
          <w:sz w:val="32"/>
          <w:szCs w:val="32"/>
        </w:rPr>
        <w:t>Brgy</w:t>
      </w:r>
      <w:proofErr w:type="spellEnd"/>
      <w:r w:rsidRPr="006E75A7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313501">
        <w:rPr>
          <w:rFonts w:ascii="Arial" w:hAnsi="Arial" w:cs="Arial"/>
          <w:b/>
          <w:sz w:val="32"/>
          <w:szCs w:val="32"/>
        </w:rPr>
        <w:t>Calumpang</w:t>
      </w:r>
      <w:proofErr w:type="spellEnd"/>
      <w:r w:rsidR="00313501">
        <w:rPr>
          <w:rFonts w:ascii="Arial" w:hAnsi="Arial" w:cs="Arial"/>
          <w:b/>
          <w:sz w:val="32"/>
          <w:szCs w:val="32"/>
        </w:rPr>
        <w:t>, General Santos City</w:t>
      </w:r>
      <w:r w:rsidRPr="006E75A7"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050436DB" w:rsidR="00D41206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313501">
        <w:rPr>
          <w:rFonts w:ascii="Arial" w:eastAsia="Arial" w:hAnsi="Arial" w:cs="Arial"/>
          <w:sz w:val="24"/>
          <w:szCs w:val="24"/>
        </w:rPr>
        <w:t>06 November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CE0198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CCA3AD4" w14:textId="3B1752A6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C718583" w14:textId="533C5ED6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313501">
        <w:rPr>
          <w:rFonts w:ascii="Arial" w:hAnsi="Arial" w:cs="Arial"/>
          <w:sz w:val="24"/>
          <w:szCs w:val="24"/>
          <w:lang w:val="en-US"/>
        </w:rPr>
        <w:t>03 November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at </w:t>
      </w:r>
      <w:r w:rsidR="00313501">
        <w:rPr>
          <w:rFonts w:ascii="Arial" w:hAnsi="Arial" w:cs="Arial"/>
          <w:sz w:val="24"/>
          <w:szCs w:val="24"/>
          <w:lang w:val="en-US"/>
        </w:rPr>
        <w:t>1</w:t>
      </w:r>
      <w:r w:rsidR="00112655">
        <w:rPr>
          <w:rFonts w:ascii="Arial" w:hAnsi="Arial" w:cs="Arial"/>
          <w:sz w:val="24"/>
          <w:szCs w:val="24"/>
          <w:lang w:val="en-US"/>
        </w:rPr>
        <w:t xml:space="preserve">:00 </w:t>
      </w:r>
      <w:r w:rsidR="00313501">
        <w:rPr>
          <w:rFonts w:ascii="Arial" w:hAnsi="Arial" w:cs="Arial"/>
          <w:sz w:val="24"/>
          <w:szCs w:val="24"/>
          <w:lang w:val="en-US"/>
        </w:rPr>
        <w:t>P</w:t>
      </w:r>
      <w:r w:rsidR="00112655">
        <w:rPr>
          <w:rFonts w:ascii="Arial" w:hAnsi="Arial" w:cs="Arial"/>
          <w:sz w:val="24"/>
          <w:szCs w:val="24"/>
          <w:lang w:val="en-US"/>
        </w:rPr>
        <w:t>M</w:t>
      </w:r>
      <w:r w:rsidR="00527155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423E04">
        <w:rPr>
          <w:rFonts w:ascii="Arial" w:hAnsi="Arial" w:cs="Arial"/>
          <w:sz w:val="24"/>
          <w:szCs w:val="24"/>
          <w:lang w:val="en-US"/>
        </w:rPr>
        <w:t>in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7A4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347A4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13501">
        <w:rPr>
          <w:rFonts w:ascii="Arial" w:hAnsi="Arial" w:cs="Arial"/>
          <w:sz w:val="24"/>
          <w:szCs w:val="24"/>
          <w:lang w:val="en-US"/>
        </w:rPr>
        <w:t>Calumpang</w:t>
      </w:r>
      <w:proofErr w:type="spellEnd"/>
      <w:r w:rsidR="00527155">
        <w:rPr>
          <w:rFonts w:ascii="Arial" w:hAnsi="Arial" w:cs="Arial"/>
          <w:sz w:val="24"/>
          <w:szCs w:val="24"/>
          <w:lang w:val="en-US"/>
        </w:rPr>
        <w:t xml:space="preserve">, </w:t>
      </w:r>
      <w:r w:rsidR="00313501">
        <w:rPr>
          <w:rFonts w:ascii="Arial" w:hAnsi="Arial" w:cs="Arial"/>
          <w:sz w:val="24"/>
          <w:szCs w:val="24"/>
          <w:lang w:val="en-US"/>
        </w:rPr>
        <w:t>General Santos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City</w:t>
      </w:r>
      <w:r w:rsidR="0025669B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FDAE74A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13501">
        <w:rPr>
          <w:rFonts w:ascii="Arial" w:eastAsia="Arial" w:hAnsi="Arial" w:cs="Arial"/>
          <w:i/>
          <w:color w:val="0070C0"/>
          <w:sz w:val="16"/>
        </w:rPr>
        <w:t>XII</w:t>
      </w:r>
    </w:p>
    <w:p w14:paraId="251F5F62" w14:textId="77777777" w:rsidR="00261A8B" w:rsidRPr="00CE0198" w:rsidRDefault="00261A8B" w:rsidP="00061D74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88F0849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586D43EF" w:rsidR="00E0043D" w:rsidRPr="005916F0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16F0">
        <w:rPr>
          <w:rFonts w:ascii="Arial" w:eastAsia="Arial" w:hAnsi="Arial" w:cs="Arial"/>
          <w:sz w:val="24"/>
          <w:szCs w:val="24"/>
        </w:rPr>
        <w:t xml:space="preserve">A total of </w:t>
      </w:r>
      <w:r w:rsidR="00313501" w:rsidRPr="00313501">
        <w:rPr>
          <w:rFonts w:ascii="Arial" w:eastAsia="Arial" w:hAnsi="Arial" w:cs="Arial"/>
          <w:b/>
          <w:color w:val="0070C0"/>
          <w:sz w:val="24"/>
          <w:szCs w:val="24"/>
        </w:rPr>
        <w:t xml:space="preserve">671 </w:t>
      </w:r>
      <w:r w:rsidRPr="00F96C7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>or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313501" w:rsidRPr="00313501">
        <w:rPr>
          <w:rFonts w:ascii="Arial" w:eastAsia="Arial" w:hAnsi="Arial" w:cs="Arial"/>
          <w:b/>
          <w:color w:val="0070C0"/>
          <w:sz w:val="24"/>
          <w:szCs w:val="24"/>
        </w:rPr>
        <w:t xml:space="preserve">3,355 </w:t>
      </w:r>
      <w:r w:rsidRPr="00F96C7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5916F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27155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27155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313501">
        <w:rPr>
          <w:rFonts w:ascii="Arial" w:eastAsia="Arial" w:hAnsi="Arial" w:cs="Arial"/>
          <w:b/>
          <w:bCs/>
          <w:color w:val="0070C0"/>
          <w:sz w:val="24"/>
          <w:szCs w:val="24"/>
        </w:rPr>
        <w:t>Calumpang</w:t>
      </w:r>
      <w:proofErr w:type="spellEnd"/>
      <w:r w:rsidR="00527155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r w:rsidR="00313501">
        <w:rPr>
          <w:rFonts w:ascii="Arial" w:eastAsia="Arial" w:hAnsi="Arial" w:cs="Arial"/>
          <w:b/>
          <w:bCs/>
          <w:color w:val="0070C0"/>
          <w:sz w:val="24"/>
          <w:szCs w:val="24"/>
        </w:rPr>
        <w:t>General Santos</w:t>
      </w:r>
      <w:r w:rsidR="00527155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527155" w:rsidRPr="005916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CE0198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4869"/>
        <w:gridCol w:w="1738"/>
        <w:gridCol w:w="1211"/>
        <w:gridCol w:w="1204"/>
      </w:tblGrid>
      <w:tr w:rsidR="00313501" w:rsidRPr="00313501" w14:paraId="37DD832B" w14:textId="77777777" w:rsidTr="00313501">
        <w:trPr>
          <w:trHeight w:val="20"/>
        </w:trPr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839280" w14:textId="77777777" w:rsidR="00313501" w:rsidRPr="0031350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97DBF2" w14:textId="77777777" w:rsidR="00313501" w:rsidRPr="0031350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13501" w:rsidRPr="00313501" w14:paraId="3D8AE761" w14:textId="77777777" w:rsidTr="00313501">
        <w:trPr>
          <w:trHeight w:val="20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58D" w14:textId="77777777" w:rsidR="00313501" w:rsidRPr="0031350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F0727A" w14:textId="77777777" w:rsidR="00313501" w:rsidRPr="0031350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648B42" w14:textId="77777777" w:rsidR="00313501" w:rsidRPr="0031350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3F541E" w14:textId="77777777" w:rsidR="00313501" w:rsidRPr="0031350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313501" w:rsidRPr="00313501" w14:paraId="6F996699" w14:textId="77777777" w:rsidTr="00313501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96F9D4" w14:textId="77777777" w:rsidR="00313501" w:rsidRPr="0031350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DFAFC1B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0A6533B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7D3B37B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  <w:tr w:rsidR="00313501" w:rsidRPr="00313501" w14:paraId="67AC858A" w14:textId="77777777" w:rsidTr="00313501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01F184" w14:textId="77777777" w:rsidR="00313501" w:rsidRPr="0031350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B518F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4B77D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F667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  <w:tr w:rsidR="00313501" w:rsidRPr="00313501" w14:paraId="502768F3" w14:textId="77777777" w:rsidTr="0031350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BDAD8" w14:textId="77777777" w:rsidR="00313501" w:rsidRPr="0031350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South Cotabato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776E5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914A4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9D5AF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  <w:tr w:rsidR="00313501" w:rsidRPr="00313501" w14:paraId="71EEAEF6" w14:textId="77777777" w:rsidTr="00313501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ECD4" w14:textId="3C4ED7E9" w:rsidR="00313501" w:rsidRPr="0031350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General Santos City (</w:t>
            </w:r>
            <w:proofErr w:type="spellStart"/>
            <w:r w:rsidRPr="003135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Dadiangas</w:t>
            </w:r>
            <w:proofErr w:type="spellEnd"/>
            <w:r w:rsidRPr="003135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62A6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47C8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9674" w14:textId="77777777" w:rsidR="00313501" w:rsidRPr="0031350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35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</w:tbl>
    <w:p w14:paraId="2A6F6194" w14:textId="2BE25FCC" w:rsidR="00D41206" w:rsidRPr="00313501" w:rsidRDefault="00313501" w:rsidP="00313501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</w:t>
      </w:r>
      <w:r w:rsidR="00AF5905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DFF31BA" w14:textId="7AAA9942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>
        <w:rPr>
          <w:rFonts w:ascii="Arial" w:eastAsia="Arial" w:hAnsi="Arial" w:cs="Arial"/>
          <w:i/>
          <w:color w:val="0070C0"/>
          <w:sz w:val="16"/>
        </w:rPr>
        <w:t>XII</w:t>
      </w:r>
    </w:p>
    <w:p w14:paraId="670DFC3F" w14:textId="77458ADA" w:rsidR="00717E54" w:rsidRPr="00CE0198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5B168937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CE0198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6DD8932" w14:textId="701B07A9" w:rsidR="0052448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CE0198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DDE119F" w:rsidR="00524481" w:rsidRPr="005916F0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5916F0">
        <w:rPr>
          <w:rFonts w:ascii="Arial" w:hAnsi="Arial" w:cs="Arial"/>
          <w:sz w:val="24"/>
          <w:szCs w:val="24"/>
        </w:rPr>
        <w:t>There are</w:t>
      </w:r>
      <w:r w:rsidR="00524481" w:rsidRPr="005916F0">
        <w:rPr>
          <w:rFonts w:ascii="Arial" w:hAnsi="Arial" w:cs="Arial"/>
          <w:sz w:val="24"/>
          <w:szCs w:val="24"/>
        </w:rPr>
        <w:t xml:space="preserve"> </w:t>
      </w:r>
      <w:r w:rsidR="00313501" w:rsidRPr="00313501">
        <w:rPr>
          <w:rFonts w:ascii="Arial" w:eastAsia="Arial" w:hAnsi="Arial" w:cs="Arial"/>
          <w:b/>
          <w:color w:val="0070C0"/>
          <w:sz w:val="24"/>
          <w:szCs w:val="24"/>
        </w:rPr>
        <w:t>571</w:t>
      </w:r>
      <w:r w:rsidR="00524481"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5916F0">
        <w:rPr>
          <w:rFonts w:ascii="Arial" w:eastAsia="Arial" w:hAnsi="Arial" w:cs="Arial"/>
          <w:sz w:val="24"/>
          <w:szCs w:val="24"/>
        </w:rPr>
        <w:t>or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313501" w:rsidRPr="00313501">
        <w:rPr>
          <w:rFonts w:ascii="Arial" w:eastAsia="Arial" w:hAnsi="Arial" w:cs="Arial"/>
          <w:b/>
          <w:color w:val="0070C0"/>
          <w:sz w:val="24"/>
          <w:szCs w:val="24"/>
        </w:rPr>
        <w:t xml:space="preserve">2,855 </w:t>
      </w:r>
      <w:r w:rsidR="00524481" w:rsidRPr="00F96C7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5916F0">
        <w:rPr>
          <w:rFonts w:ascii="Arial" w:hAnsi="Arial" w:cs="Arial"/>
          <w:sz w:val="24"/>
          <w:szCs w:val="24"/>
        </w:rPr>
        <w:t xml:space="preserve">currently taking temporary shelter </w:t>
      </w:r>
      <w:r w:rsidR="00A7456D">
        <w:rPr>
          <w:rFonts w:ascii="Arial" w:hAnsi="Arial" w:cs="Arial"/>
          <w:sz w:val="24"/>
          <w:szCs w:val="24"/>
        </w:rPr>
        <w:t xml:space="preserve">in </w:t>
      </w:r>
      <w:r w:rsidR="00F96C70" w:rsidRPr="00F96C70">
        <w:rPr>
          <w:rFonts w:ascii="Arial" w:hAnsi="Arial" w:cs="Arial"/>
          <w:b/>
          <w:bCs/>
          <w:color w:val="0070C0"/>
          <w:sz w:val="24"/>
          <w:szCs w:val="24"/>
        </w:rPr>
        <w:t>t</w:t>
      </w:r>
      <w:r w:rsidR="00313501">
        <w:rPr>
          <w:rFonts w:ascii="Arial" w:hAnsi="Arial" w:cs="Arial"/>
          <w:b/>
          <w:bCs/>
          <w:color w:val="0070C0"/>
          <w:sz w:val="24"/>
          <w:szCs w:val="24"/>
        </w:rPr>
        <w:t>wo</w:t>
      </w:r>
      <w:r w:rsidR="006E51D5" w:rsidRPr="00F96C70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313501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6E51D5" w:rsidRPr="00F96C70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524481" w:rsidRPr="00F96C70">
        <w:rPr>
          <w:rFonts w:ascii="Arial" w:hAnsi="Arial" w:cs="Arial"/>
          <w:color w:val="0070C0"/>
          <w:sz w:val="24"/>
          <w:szCs w:val="24"/>
        </w:rPr>
        <w:t xml:space="preserve"> </w:t>
      </w:r>
      <w:r w:rsidR="00CE0198" w:rsidRPr="00CE0198">
        <w:rPr>
          <w:rFonts w:ascii="Arial" w:hAnsi="Arial" w:cs="Arial"/>
          <w:sz w:val="24"/>
          <w:szCs w:val="24"/>
        </w:rPr>
        <w:t xml:space="preserve">in </w:t>
      </w:r>
      <w:r w:rsidR="00CE0198" w:rsidRPr="00CE0198">
        <w:rPr>
          <w:rFonts w:ascii="Arial" w:hAnsi="Arial" w:cs="Arial"/>
          <w:b/>
          <w:color w:val="0070C0"/>
          <w:sz w:val="24"/>
          <w:szCs w:val="24"/>
        </w:rPr>
        <w:t>General Santos City</w:t>
      </w:r>
      <w:r w:rsidR="00CE0198" w:rsidRPr="00CE0198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5916F0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9F9DFBD" w:rsid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CE01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8685" w:type="dxa"/>
        <w:tblInd w:w="1075" w:type="dxa"/>
        <w:tblLook w:val="04A0" w:firstRow="1" w:lastRow="0" w:firstColumn="1" w:lastColumn="0" w:noHBand="0" w:noVBand="1"/>
      </w:tblPr>
      <w:tblGrid>
        <w:gridCol w:w="3240"/>
        <w:gridCol w:w="845"/>
        <w:gridCol w:w="920"/>
        <w:gridCol w:w="920"/>
        <w:gridCol w:w="920"/>
        <w:gridCol w:w="920"/>
        <w:gridCol w:w="920"/>
      </w:tblGrid>
      <w:tr w:rsidR="00313501" w:rsidRPr="00CE0198" w14:paraId="7A066BAF" w14:textId="77777777" w:rsidTr="00313501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5C8476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REGION / PROVINCE / MUNICIPALITY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529595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941527E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DISPLACED </w:t>
            </w:r>
          </w:p>
        </w:tc>
      </w:tr>
      <w:tr w:rsidR="00313501" w:rsidRPr="00CE0198" w14:paraId="24267934" w14:textId="77777777" w:rsidTr="00313501">
        <w:trPr>
          <w:trHeight w:val="2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1674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3FFA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7F31982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INSIDE ECs </w:t>
            </w:r>
          </w:p>
        </w:tc>
      </w:tr>
      <w:tr w:rsidR="00313501" w:rsidRPr="00CE0198" w14:paraId="0255D7BD" w14:textId="77777777" w:rsidTr="00313501">
        <w:trPr>
          <w:trHeight w:val="2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85B9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EF24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04DEF7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EA8DFC" w14:textId="3D7ECC6A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Persons </w:t>
            </w:r>
          </w:p>
        </w:tc>
      </w:tr>
      <w:tr w:rsidR="00313501" w:rsidRPr="00CE0198" w14:paraId="617F8553" w14:textId="77777777" w:rsidTr="00313501">
        <w:trPr>
          <w:trHeight w:val="2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234F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5169A4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4E7E31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4BC776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FD368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CE18F2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FBF6D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</w:tr>
      <w:tr w:rsidR="00313501" w:rsidRPr="00CE0198" w14:paraId="0277BCB1" w14:textId="77777777" w:rsidTr="00313501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C2C8C" w14:textId="77777777" w:rsidR="00313501" w:rsidRPr="00CE0198" w:rsidRDefault="00313501" w:rsidP="003135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5C29D" w14:textId="0A8B6F53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7CD04" w14:textId="23EF98C0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0CCF9" w14:textId="72F10CFF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440FB" w14:textId="1EBC76D7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8D8C77" w14:textId="75D51547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C50" w14:textId="7D60643B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</w:tr>
      <w:tr w:rsidR="00313501" w:rsidRPr="00CE0198" w14:paraId="47C2CF16" w14:textId="77777777" w:rsidTr="00313501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8E8B8C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XII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C4B02" w14:textId="0B6C38AF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671B4" w14:textId="3E75BF23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4E866" w14:textId="3FC13FAC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45B03" w14:textId="1944F6FB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44049" w14:textId="2696C2DB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2DADA" w14:textId="4383BE3E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</w:tr>
      <w:tr w:rsidR="00313501" w:rsidRPr="00CE0198" w14:paraId="262D758F" w14:textId="77777777" w:rsidTr="00313501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F5C6E" w14:textId="77777777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South Cotabato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9AED7" w14:textId="4E362327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567DD" w14:textId="37D61131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E6992" w14:textId="2CD1F34B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4C92D" w14:textId="2135F46D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69398" w14:textId="08260129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91CA9" w14:textId="1F3C718E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</w:tr>
      <w:tr w:rsidR="00313501" w:rsidRPr="00CE0198" w14:paraId="68BE3858" w14:textId="77777777" w:rsidTr="00313501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2386" w14:textId="3F78ED0F" w:rsidR="00313501" w:rsidRPr="00CE0198" w:rsidRDefault="00313501" w:rsidP="003135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General Santos City (</w:t>
            </w:r>
            <w:proofErr w:type="spellStart"/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Dadiangas</w:t>
            </w:r>
            <w:proofErr w:type="spellEnd"/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B04F" w14:textId="15CFEFE8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9E5E" w14:textId="196A5614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438E" w14:textId="467F1B74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7C65" w14:textId="7E07014F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571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186B" w14:textId="002DE731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7FBC" w14:textId="28F2D2E5" w:rsidR="00313501" w:rsidRPr="00CE0198" w:rsidRDefault="00313501" w:rsidP="003135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2,855 </w:t>
            </w:r>
          </w:p>
        </w:tc>
      </w:tr>
    </w:tbl>
    <w:p w14:paraId="526EFC45" w14:textId="3543B314" w:rsidR="002416E6" w:rsidRDefault="00313501" w:rsidP="002416E6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8F02A9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="002416E6" w:rsidRPr="002416E6">
        <w:rPr>
          <w:rFonts w:ascii="Arial" w:hAnsi="Arial" w:cs="Arial"/>
          <w:bCs/>
          <w:i/>
          <w:iCs/>
          <w:sz w:val="16"/>
          <w:szCs w:val="16"/>
          <w:lang w:eastAsia="en-US"/>
        </w:rPr>
        <w:t>.</w:t>
      </w:r>
      <w:r w:rsidR="002416E6"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39D16285" w14:textId="3BEE2591" w:rsidR="0052448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>
        <w:rPr>
          <w:rFonts w:ascii="Arial" w:eastAsia="Arial" w:hAnsi="Arial" w:cs="Arial"/>
          <w:i/>
          <w:color w:val="0070C0"/>
          <w:sz w:val="16"/>
        </w:rPr>
        <w:t>XII</w:t>
      </w:r>
    </w:p>
    <w:p w14:paraId="2ED1D540" w14:textId="108E4454" w:rsidR="00994BAA" w:rsidRPr="00CE0198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69B48B37" w14:textId="77777777" w:rsidR="002416E6" w:rsidRPr="002962C3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2C44196B" w:rsidR="002416E6" w:rsidRPr="00D32B1A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F96C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6C70"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>10</w:t>
      </w:r>
      <w:r w:rsidR="00B947EA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F96C70"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B947EA">
        <w:rPr>
          <w:rFonts w:ascii="Arial" w:eastAsia="Times New Roman" w:hAnsi="Arial" w:cs="Arial"/>
          <w:b/>
          <w:bCs/>
          <w:color w:val="0070C0"/>
          <w:sz w:val="24"/>
          <w:szCs w:val="24"/>
        </w:rPr>
        <w:t>00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</w:t>
      </w:r>
      <w:r w:rsidR="00F96C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their relatives and/or friends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15CD17DB" w14:textId="77777777" w:rsidR="002416E6" w:rsidRPr="00CE0198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7818E115" w14:textId="146FD98F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 Evacuation Center</w:t>
      </w:r>
    </w:p>
    <w:tbl>
      <w:tblPr>
        <w:tblW w:w="4448" w:type="pct"/>
        <w:tblInd w:w="1075" w:type="dxa"/>
        <w:tblLook w:val="04A0" w:firstRow="1" w:lastRow="0" w:firstColumn="1" w:lastColumn="0" w:noHBand="0" w:noVBand="1"/>
      </w:tblPr>
      <w:tblGrid>
        <w:gridCol w:w="4015"/>
        <w:gridCol w:w="1161"/>
        <w:gridCol w:w="1161"/>
        <w:gridCol w:w="1161"/>
        <w:gridCol w:w="1164"/>
      </w:tblGrid>
      <w:tr w:rsidR="00313501" w:rsidRPr="00CE0198" w14:paraId="4CFD24CC" w14:textId="77777777" w:rsidTr="00CE0198">
        <w:trPr>
          <w:trHeight w:val="20"/>
          <w:tblHeader/>
        </w:trPr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98EC02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REGION / PROVINCE / MUNICIPALITY </w:t>
            </w: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2E377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DISPLACED </w:t>
            </w:r>
          </w:p>
        </w:tc>
      </w:tr>
      <w:tr w:rsidR="00313501" w:rsidRPr="00CE0198" w14:paraId="1DA1B682" w14:textId="77777777" w:rsidTr="00CE0198">
        <w:trPr>
          <w:trHeight w:val="20"/>
          <w:tblHeader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469" w14:textId="77777777" w:rsidR="00313501" w:rsidRPr="00CE019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73B2DE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OUTSIDE ECs </w:t>
            </w:r>
          </w:p>
        </w:tc>
      </w:tr>
      <w:tr w:rsidR="00313501" w:rsidRPr="00CE0198" w14:paraId="38695F31" w14:textId="77777777" w:rsidTr="00CE0198">
        <w:trPr>
          <w:trHeight w:val="20"/>
          <w:tblHeader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541E" w14:textId="77777777" w:rsidR="00313501" w:rsidRPr="00CE019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1EFA43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Families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739D60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Persons </w:t>
            </w:r>
          </w:p>
        </w:tc>
      </w:tr>
      <w:tr w:rsidR="00313501" w:rsidRPr="00CE0198" w14:paraId="3A61BBA2" w14:textId="77777777" w:rsidTr="00CE0198">
        <w:trPr>
          <w:trHeight w:val="20"/>
          <w:tblHeader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A32F" w14:textId="77777777" w:rsidR="00313501" w:rsidRPr="00CE019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020762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E2151E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50E390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CUM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36BF9C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NOW </w:t>
            </w:r>
          </w:p>
        </w:tc>
      </w:tr>
      <w:tr w:rsidR="00B947EA" w:rsidRPr="00CE0198" w14:paraId="28993CF4" w14:textId="77777777" w:rsidTr="00CE0198">
        <w:trPr>
          <w:trHeight w:val="20"/>
        </w:trPr>
        <w:tc>
          <w:tcPr>
            <w:tcW w:w="2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2E546" w14:textId="77777777" w:rsidR="00313501" w:rsidRPr="00CE019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2A292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3837F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86B6A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5D97E7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</w:tr>
      <w:tr w:rsidR="00313501" w:rsidRPr="00CE0198" w14:paraId="643D503E" w14:textId="77777777" w:rsidTr="00CE0198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C433C9" w14:textId="77777777" w:rsidR="00313501" w:rsidRPr="00CE019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XII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36304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A3E62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81CB4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1FCD5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</w:tr>
      <w:tr w:rsidR="00313501" w:rsidRPr="00CE0198" w14:paraId="59D7B4B5" w14:textId="77777777" w:rsidTr="00CE0198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C44B3" w14:textId="77777777" w:rsidR="00313501" w:rsidRPr="00CE019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South Cotabato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44943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B7F10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6359E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3E010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</w:tr>
      <w:tr w:rsidR="00313501" w:rsidRPr="00CE0198" w14:paraId="3CE5EEB3" w14:textId="77777777" w:rsidTr="00CE0198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6D45" w14:textId="42665900" w:rsidR="00313501" w:rsidRPr="00CE019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General Santos City (</w:t>
            </w:r>
            <w:proofErr w:type="spellStart"/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Dadiangas</w:t>
            </w:r>
            <w:proofErr w:type="spellEnd"/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DAD8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3DCC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          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731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A4D9" w14:textId="77777777" w:rsidR="00313501" w:rsidRPr="00CE0198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CE0198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          500 </w:t>
            </w:r>
          </w:p>
        </w:tc>
      </w:tr>
    </w:tbl>
    <w:p w14:paraId="03C8B531" w14:textId="77777777" w:rsidR="00B947EA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8F02A9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416E6">
        <w:rPr>
          <w:rFonts w:ascii="Arial" w:hAnsi="Arial" w:cs="Arial"/>
          <w:bCs/>
          <w:i/>
          <w:iCs/>
          <w:sz w:val="16"/>
          <w:szCs w:val="16"/>
          <w:lang w:eastAsia="en-US"/>
        </w:rPr>
        <w:t>.</w:t>
      </w:r>
      <w:r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45DBBB6B" w14:textId="77777777" w:rsidR="00B947EA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60306BE" w14:textId="77777777" w:rsidR="002627B9" w:rsidRPr="00CE0198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0"/>
          <w:szCs w:val="24"/>
        </w:rPr>
      </w:pPr>
    </w:p>
    <w:p w14:paraId="3E290872" w14:textId="77777777" w:rsidR="002416E6" w:rsidRPr="001237CA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7D9423CD" w:rsidR="002416E6" w:rsidRPr="00D32B1A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B947EA">
        <w:rPr>
          <w:rFonts w:ascii="Arial" w:eastAsia="Times New Roman" w:hAnsi="Arial" w:cs="Arial"/>
          <w:b/>
          <w:bCs/>
          <w:color w:val="0070C0"/>
          <w:sz w:val="24"/>
          <w:szCs w:val="24"/>
        </w:rPr>
        <w:t>671</w:t>
      </w:r>
      <w:r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B947EA" w:rsidRPr="00B947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3,355 </w:t>
      </w:r>
      <w:r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="00DD05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D0528" w:rsidRPr="008049D8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DD0528" w:rsidRPr="008049D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B947EA">
        <w:rPr>
          <w:rFonts w:ascii="Arial" w:eastAsia="Times New Roman" w:hAnsi="Arial" w:cs="Arial"/>
          <w:b/>
          <w:color w:val="0070C0"/>
          <w:sz w:val="24"/>
          <w:szCs w:val="24"/>
        </w:rPr>
        <w:t>Calumpang</w:t>
      </w:r>
      <w:proofErr w:type="spellEnd"/>
      <w:r w:rsidR="00DD0528" w:rsidRPr="008049D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r w:rsidR="00B947EA">
        <w:rPr>
          <w:rFonts w:ascii="Arial" w:eastAsia="Times New Roman" w:hAnsi="Arial" w:cs="Arial"/>
          <w:b/>
          <w:color w:val="0070C0"/>
          <w:sz w:val="24"/>
          <w:szCs w:val="24"/>
        </w:rPr>
        <w:t>General Santos</w:t>
      </w:r>
      <w:r w:rsidR="00DD0528" w:rsidRPr="008049D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City</w:t>
      </w:r>
      <w:r w:rsidRPr="008049D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783942A7" w14:textId="77777777" w:rsidR="002416E6" w:rsidRPr="00F6425C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47BEF375" w14:textId="3FACCB23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448" w:type="pct"/>
        <w:tblInd w:w="1075" w:type="dxa"/>
        <w:tblLook w:val="04A0" w:firstRow="1" w:lastRow="0" w:firstColumn="1" w:lastColumn="0" w:noHBand="0" w:noVBand="1"/>
      </w:tblPr>
      <w:tblGrid>
        <w:gridCol w:w="4016"/>
        <w:gridCol w:w="1161"/>
        <w:gridCol w:w="1161"/>
        <w:gridCol w:w="1162"/>
        <w:gridCol w:w="1162"/>
      </w:tblGrid>
      <w:tr w:rsidR="00B947EA" w:rsidRPr="00B947EA" w14:paraId="0381869B" w14:textId="77777777" w:rsidTr="00B947EA">
        <w:trPr>
          <w:trHeight w:val="20"/>
        </w:trPr>
        <w:tc>
          <w:tcPr>
            <w:tcW w:w="2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87F965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77804C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B947EA" w:rsidRPr="00B947EA" w14:paraId="04C4FA1B" w14:textId="77777777" w:rsidTr="00B947EA">
        <w:trPr>
          <w:trHeight w:val="20"/>
        </w:trPr>
        <w:tc>
          <w:tcPr>
            <w:tcW w:w="2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951F" w14:textId="77777777" w:rsidR="00B947EA" w:rsidRPr="00B947EA" w:rsidRDefault="00B947EA" w:rsidP="00B94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676B3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048090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B947EA" w:rsidRPr="00B947EA" w14:paraId="0E721B76" w14:textId="77777777" w:rsidTr="00B947EA">
        <w:trPr>
          <w:trHeight w:val="20"/>
        </w:trPr>
        <w:tc>
          <w:tcPr>
            <w:tcW w:w="2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2E72" w14:textId="77777777" w:rsidR="00B947EA" w:rsidRPr="00B947EA" w:rsidRDefault="00B947EA" w:rsidP="00B94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4B404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2AC6D0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19C65F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BF5D1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B947EA" w:rsidRPr="00B947EA" w14:paraId="1F1569E8" w14:textId="77777777" w:rsidTr="00B947EA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F4B022" w14:textId="77777777" w:rsidR="00B947EA" w:rsidRPr="00B947EA" w:rsidRDefault="00B947EA" w:rsidP="00B9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15E258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90338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1D2620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C8EF8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  <w:tr w:rsidR="00B947EA" w:rsidRPr="00B947EA" w14:paraId="00371D95" w14:textId="77777777" w:rsidTr="00B947EA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8CAA66" w14:textId="77777777" w:rsidR="00B947EA" w:rsidRPr="00B947EA" w:rsidRDefault="00B947EA" w:rsidP="00B94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1B89D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4234C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8AE04B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B743E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  <w:tr w:rsidR="00B947EA" w:rsidRPr="00B947EA" w14:paraId="42493810" w14:textId="77777777" w:rsidTr="00B947EA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6934D" w14:textId="77777777" w:rsidR="00B947EA" w:rsidRPr="00B947EA" w:rsidRDefault="00B947EA" w:rsidP="00B94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South Cotabato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DD754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A7806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B5519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C6E89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  <w:tr w:rsidR="00B947EA" w:rsidRPr="00B947EA" w14:paraId="45362094" w14:textId="77777777" w:rsidTr="00B947EA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5E64" w14:textId="00BE83C9" w:rsidR="00B947EA" w:rsidRPr="00B947EA" w:rsidRDefault="00B947EA" w:rsidP="00B94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General Santos City (</w:t>
            </w:r>
            <w:proofErr w:type="spellStart"/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Dadiangas</w:t>
            </w:r>
            <w:proofErr w:type="spellEnd"/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EC49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6AB6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671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98D1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5575" w14:textId="77777777" w:rsidR="00B947EA" w:rsidRPr="00B947EA" w:rsidRDefault="00B947EA" w:rsidP="00B947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94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3,355 </w:t>
            </w:r>
          </w:p>
        </w:tc>
      </w:tr>
    </w:tbl>
    <w:p w14:paraId="478CD7EB" w14:textId="77777777" w:rsidR="00B947EA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8F02A9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416E6">
        <w:rPr>
          <w:rFonts w:ascii="Arial" w:hAnsi="Arial" w:cs="Arial"/>
          <w:bCs/>
          <w:i/>
          <w:iCs/>
          <w:sz w:val="16"/>
          <w:szCs w:val="16"/>
          <w:lang w:eastAsia="en-US"/>
        </w:rPr>
        <w:t>.</w:t>
      </w:r>
      <w:r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17170917" w14:textId="2D5E5C71" w:rsidR="00880066" w:rsidRPr="00B947EA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31EF6046" w14:textId="77777777" w:rsidR="00880066" w:rsidRPr="00F6425C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256FC8F" w14:textId="545557DF" w:rsidR="00333C2B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7526692" w14:textId="431DE8E2" w:rsidR="00E0043D" w:rsidRPr="008049D8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049D8">
        <w:rPr>
          <w:rFonts w:ascii="Arial" w:hAnsi="Arial" w:cs="Arial"/>
          <w:sz w:val="24"/>
          <w:szCs w:val="24"/>
        </w:rPr>
        <w:t xml:space="preserve">A total of </w:t>
      </w:r>
      <w:r w:rsidR="005B5AA1" w:rsidRPr="005B5AA1">
        <w:rPr>
          <w:rFonts w:ascii="Arial" w:hAnsi="Arial" w:cs="Arial"/>
          <w:b/>
          <w:color w:val="0070C0"/>
          <w:sz w:val="24"/>
          <w:szCs w:val="24"/>
        </w:rPr>
        <w:t>4</w:t>
      </w:r>
      <w:r w:rsidR="00880066" w:rsidRPr="005B5AA1">
        <w:rPr>
          <w:rFonts w:ascii="Arial" w:hAnsi="Arial" w:cs="Arial"/>
          <w:b/>
          <w:color w:val="0070C0"/>
          <w:sz w:val="24"/>
          <w:szCs w:val="24"/>
        </w:rPr>
        <w:t>00</w:t>
      </w:r>
      <w:r w:rsidRPr="005B5AA1">
        <w:rPr>
          <w:rFonts w:ascii="Arial" w:hAnsi="Arial" w:cs="Arial"/>
          <w:b/>
          <w:color w:val="0070C0"/>
          <w:sz w:val="24"/>
          <w:szCs w:val="24"/>
        </w:rPr>
        <w:t xml:space="preserve"> houses </w:t>
      </w:r>
      <w:r w:rsidRPr="008049D8">
        <w:rPr>
          <w:rFonts w:ascii="Arial" w:hAnsi="Arial" w:cs="Arial"/>
          <w:sz w:val="24"/>
          <w:szCs w:val="24"/>
        </w:rPr>
        <w:t>were</w:t>
      </w:r>
      <w:r w:rsidR="00880066" w:rsidRPr="008049D8">
        <w:rPr>
          <w:rFonts w:ascii="Arial" w:hAnsi="Arial" w:cs="Arial"/>
          <w:sz w:val="24"/>
          <w:szCs w:val="24"/>
        </w:rPr>
        <w:t xml:space="preserve"> </w:t>
      </w:r>
      <w:r w:rsidR="00880066" w:rsidRPr="005B5AA1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F0317A" w:rsidRPr="008049D8">
        <w:rPr>
          <w:rFonts w:ascii="Arial" w:hAnsi="Arial" w:cs="Arial"/>
          <w:b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>damaged</w:t>
      </w:r>
      <w:r w:rsidR="00D01516" w:rsidRPr="008049D8">
        <w:rPr>
          <w:rFonts w:ascii="Arial" w:hAnsi="Arial" w:cs="Arial"/>
          <w:sz w:val="24"/>
          <w:szCs w:val="24"/>
        </w:rPr>
        <w:t xml:space="preserve"> by the </w:t>
      </w:r>
      <w:r w:rsidR="00B10967" w:rsidRPr="008049D8">
        <w:rPr>
          <w:rFonts w:ascii="Arial" w:hAnsi="Arial" w:cs="Arial"/>
          <w:sz w:val="24"/>
          <w:szCs w:val="24"/>
        </w:rPr>
        <w:t>fire</w:t>
      </w:r>
      <w:r w:rsidR="00F0317A" w:rsidRPr="008049D8">
        <w:rPr>
          <w:rFonts w:ascii="Arial" w:hAnsi="Arial" w:cs="Arial"/>
          <w:b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 xml:space="preserve">(see Table </w:t>
      </w:r>
      <w:r w:rsidR="00E13D54" w:rsidRPr="008049D8">
        <w:rPr>
          <w:rFonts w:ascii="Arial" w:hAnsi="Arial" w:cs="Arial"/>
          <w:sz w:val="24"/>
          <w:szCs w:val="24"/>
        </w:rPr>
        <w:t>3</w:t>
      </w:r>
      <w:r w:rsidRPr="008049D8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F6425C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121AA70" w14:textId="255201B5" w:rsidR="00333C2B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E13D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360"/>
        <w:gridCol w:w="1278"/>
        <w:gridCol w:w="1278"/>
        <w:gridCol w:w="1280"/>
      </w:tblGrid>
      <w:tr w:rsidR="005B5AA1" w:rsidRPr="005B5AA1" w14:paraId="36ACEF26" w14:textId="77777777" w:rsidTr="005B5AA1">
        <w:trPr>
          <w:trHeight w:val="20"/>
        </w:trPr>
        <w:tc>
          <w:tcPr>
            <w:tcW w:w="2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8FA2F" w14:textId="77777777" w:rsidR="005B5AA1" w:rsidRPr="005B5AA1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F2D39D" w14:textId="77777777" w:rsidR="005B5AA1" w:rsidRPr="005B5AA1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5B5AA1" w:rsidRPr="005B5AA1" w14:paraId="78581B65" w14:textId="77777777" w:rsidTr="005B5AA1">
        <w:trPr>
          <w:trHeight w:val="20"/>
        </w:trPr>
        <w:tc>
          <w:tcPr>
            <w:tcW w:w="2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0A3B" w14:textId="77777777" w:rsidR="005B5AA1" w:rsidRPr="005B5AA1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A45EE3" w14:textId="77777777" w:rsidR="005B5AA1" w:rsidRPr="005B5AA1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D9020E" w14:textId="77777777" w:rsidR="005B5AA1" w:rsidRPr="005B5AA1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30B9E3" w14:textId="77777777" w:rsidR="005B5AA1" w:rsidRPr="005B5AA1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5B5AA1" w:rsidRPr="005B5AA1" w14:paraId="5CF12EFE" w14:textId="77777777" w:rsidTr="005B5AA1">
        <w:trPr>
          <w:trHeight w:val="20"/>
        </w:trPr>
        <w:tc>
          <w:tcPr>
            <w:tcW w:w="2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EB834" w14:textId="77777777" w:rsidR="005B5AA1" w:rsidRPr="005B5AA1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D7B28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A8653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FDAFF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5B5AA1" w:rsidRPr="005B5AA1" w14:paraId="36982447" w14:textId="77777777" w:rsidTr="005B5AA1">
        <w:trPr>
          <w:trHeight w:val="20"/>
        </w:trPr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A4B59E" w14:textId="77777777" w:rsidR="005B5AA1" w:rsidRPr="005B5AA1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84517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F6343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FEE5C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5B5AA1" w:rsidRPr="005B5AA1" w14:paraId="5BFDD726" w14:textId="77777777" w:rsidTr="005B5AA1">
        <w:trPr>
          <w:trHeight w:val="20"/>
        </w:trPr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47E01" w14:textId="77777777" w:rsidR="005B5AA1" w:rsidRPr="005B5AA1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South Cotabato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2A767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D1FB8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68EB7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5B5AA1" w:rsidRPr="005B5AA1" w14:paraId="0CA2789A" w14:textId="77777777" w:rsidTr="005B5AA1">
        <w:trPr>
          <w:trHeight w:val="20"/>
        </w:trPr>
        <w:tc>
          <w:tcPr>
            <w:tcW w:w="2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88CD" w14:textId="1012C6C8" w:rsidR="005B5AA1" w:rsidRPr="005B5AA1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General Santos City (</w:t>
            </w:r>
            <w:proofErr w:type="spellStart"/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Dadiangas</w:t>
            </w:r>
            <w:proofErr w:type="spellEnd"/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FB37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1F2E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C61" w14:textId="77777777" w:rsidR="005B5AA1" w:rsidRPr="005B5AA1" w:rsidRDefault="005B5AA1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340172B1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B5AA1">
        <w:rPr>
          <w:rFonts w:ascii="Arial" w:eastAsia="Arial" w:hAnsi="Arial" w:cs="Arial"/>
          <w:i/>
          <w:color w:val="0070C0"/>
          <w:sz w:val="16"/>
        </w:rPr>
        <w:t>XII</w:t>
      </w:r>
    </w:p>
    <w:p w14:paraId="52F18B74" w14:textId="6D981E6B" w:rsidR="00D05772" w:rsidRPr="00F6425C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DBE9DB8" w14:textId="77777777" w:rsidR="005916F0" w:rsidRPr="004208E9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4B594DB" w14:textId="50D9053D" w:rsidR="005916F0" w:rsidRPr="003C2F47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B5AA1" w:rsidRPr="005B5AA1">
        <w:rPr>
          <w:rFonts w:ascii="Arial" w:eastAsia="Arial" w:hAnsi="Arial" w:cs="Arial"/>
          <w:b/>
          <w:color w:val="0070C0"/>
          <w:sz w:val="24"/>
          <w:szCs w:val="24"/>
        </w:rPr>
        <w:t xml:space="preserve">104,000.00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B5AA1">
        <w:rPr>
          <w:rFonts w:ascii="Arial" w:eastAsia="Arial" w:hAnsi="Arial" w:cs="Arial"/>
          <w:sz w:val="24"/>
          <w:szCs w:val="24"/>
        </w:rPr>
        <w:t>; of which</w:t>
      </w:r>
      <w:r w:rsidR="00F6425C">
        <w:rPr>
          <w:rFonts w:ascii="Arial" w:eastAsia="Arial" w:hAnsi="Arial" w:cs="Arial"/>
          <w:sz w:val="24"/>
          <w:szCs w:val="24"/>
        </w:rPr>
        <w:t>,</w:t>
      </w:r>
      <w:r w:rsidR="005B5AA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B5AA1" w:rsidRPr="005B5AA1">
        <w:rPr>
          <w:rFonts w:ascii="Arial" w:eastAsia="Arial" w:hAnsi="Arial" w:cs="Arial"/>
          <w:b/>
          <w:color w:val="0070C0"/>
          <w:sz w:val="24"/>
          <w:szCs w:val="24"/>
        </w:rPr>
        <w:t xml:space="preserve">96,000.00 </w:t>
      </w:r>
      <w:r w:rsidR="005B5AA1">
        <w:rPr>
          <w:rFonts w:ascii="Arial" w:eastAsia="Arial" w:hAnsi="Arial" w:cs="Arial"/>
          <w:sz w:val="24"/>
          <w:szCs w:val="24"/>
        </w:rPr>
        <w:t xml:space="preserve">from the </w:t>
      </w:r>
      <w:r w:rsidR="005B5AA1" w:rsidRPr="005B5AA1">
        <w:rPr>
          <w:rFonts w:ascii="Arial" w:eastAsia="Arial" w:hAnsi="Arial" w:cs="Arial"/>
          <w:b/>
          <w:color w:val="0070C0"/>
          <w:sz w:val="24"/>
          <w:szCs w:val="24"/>
        </w:rPr>
        <w:t>Local Government Units (LGUs)</w:t>
      </w:r>
      <w:r w:rsidR="005B5AA1">
        <w:rPr>
          <w:rFonts w:ascii="Arial" w:eastAsia="Arial" w:hAnsi="Arial" w:cs="Arial"/>
          <w:sz w:val="24"/>
          <w:szCs w:val="24"/>
        </w:rPr>
        <w:t xml:space="preserve"> and </w:t>
      </w:r>
      <w:r w:rsidR="005B5AA1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B5AA1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B5AA1" w:rsidRPr="005B5AA1">
        <w:rPr>
          <w:rFonts w:ascii="Arial" w:eastAsia="Arial" w:hAnsi="Arial" w:cs="Arial"/>
          <w:b/>
          <w:color w:val="0070C0"/>
          <w:sz w:val="24"/>
          <w:szCs w:val="24"/>
        </w:rPr>
        <w:t xml:space="preserve">,000.00 </w:t>
      </w:r>
      <w:r w:rsidR="005B5AA1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5B5AA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5B5AA1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5B5AA1">
        <w:rPr>
          <w:rFonts w:ascii="Arial" w:eastAsia="Arial" w:hAnsi="Arial" w:cs="Arial"/>
          <w:sz w:val="24"/>
          <w:szCs w:val="24"/>
        </w:rPr>
        <w:t xml:space="preserve"> (</w:t>
      </w:r>
      <w:r w:rsidRPr="003C2F47">
        <w:rPr>
          <w:rFonts w:ascii="Arial" w:eastAsia="Arial" w:hAnsi="Arial" w:cs="Arial"/>
          <w:sz w:val="24"/>
          <w:szCs w:val="24"/>
        </w:rPr>
        <w:t xml:space="preserve">see Table </w:t>
      </w:r>
      <w:r w:rsidR="00132EC3">
        <w:rPr>
          <w:rFonts w:ascii="Arial" w:eastAsia="Arial" w:hAnsi="Arial" w:cs="Arial"/>
          <w:sz w:val="24"/>
          <w:szCs w:val="24"/>
        </w:rPr>
        <w:t>4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F6425C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B3018A9" w14:textId="602A5F47" w:rsidR="005916F0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32EC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3503"/>
        <w:gridCol w:w="828"/>
        <w:gridCol w:w="1273"/>
        <w:gridCol w:w="1162"/>
        <w:gridCol w:w="1051"/>
        <w:gridCol w:w="1384"/>
      </w:tblGrid>
      <w:tr w:rsidR="005B5AA1" w:rsidRPr="005B5AA1" w14:paraId="61698330" w14:textId="77777777" w:rsidTr="00F6425C">
        <w:trPr>
          <w:trHeight w:val="20"/>
        </w:trPr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6ED707" w14:textId="77777777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3C111D" w14:textId="77777777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B5AA1" w:rsidRPr="005B5AA1" w14:paraId="1E81CF78" w14:textId="77777777" w:rsidTr="00F6425C">
        <w:trPr>
          <w:trHeight w:val="20"/>
        </w:trPr>
        <w:tc>
          <w:tcPr>
            <w:tcW w:w="1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1AF" w14:textId="77777777" w:rsidR="005B5AA1" w:rsidRPr="005B5AA1" w:rsidRDefault="005B5AA1" w:rsidP="005B5AA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AD8029" w14:textId="38579A03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DSWD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1A7777" w14:textId="75B4753A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 w:rsidR="00F64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65F083" w14:textId="77777777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C8BB16" w14:textId="7E11ECDE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BE319A" w14:textId="77777777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5B5AA1" w:rsidRPr="005B5AA1" w14:paraId="67D9FE58" w14:textId="77777777" w:rsidTr="00F6425C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02436" w14:textId="77777777" w:rsidR="005B5AA1" w:rsidRPr="005B5AA1" w:rsidRDefault="005B5AA1" w:rsidP="005B5AA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9DFEC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-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B00BF8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96,000.00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7FB85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8,000.00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08C94C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F5A59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104,000.00 </w:t>
            </w:r>
          </w:p>
        </w:tc>
      </w:tr>
      <w:tr w:rsidR="005B5AA1" w:rsidRPr="005B5AA1" w14:paraId="7CA14A19" w14:textId="77777777" w:rsidTr="00F6425C">
        <w:trPr>
          <w:trHeight w:val="20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FF5308" w14:textId="77777777" w:rsidR="005B5AA1" w:rsidRPr="005B5AA1" w:rsidRDefault="005B5AA1" w:rsidP="005B5AA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1244F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-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AD2B3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96,000.00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F1FB5D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8,000.00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4EC90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34189F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104,000.00 </w:t>
            </w:r>
          </w:p>
        </w:tc>
      </w:tr>
      <w:tr w:rsidR="005B5AA1" w:rsidRPr="005B5AA1" w14:paraId="0575652C" w14:textId="77777777" w:rsidTr="00F6425C">
        <w:trPr>
          <w:trHeight w:val="20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4A614" w14:textId="77777777" w:rsidR="005B5AA1" w:rsidRPr="005B5AA1" w:rsidRDefault="005B5AA1" w:rsidP="005B5AA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South Cotabato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436FE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-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6D11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96,000.00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AE0E5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8,000.00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2821E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672F9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104,000.00 </w:t>
            </w:r>
          </w:p>
        </w:tc>
      </w:tr>
      <w:tr w:rsidR="005B5AA1" w:rsidRPr="005B5AA1" w14:paraId="7EE6E99B" w14:textId="77777777" w:rsidTr="00F6425C">
        <w:trPr>
          <w:trHeight w:val="20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EB52" w14:textId="07E4FF8C" w:rsidR="005B5AA1" w:rsidRPr="005B5AA1" w:rsidRDefault="005B5AA1" w:rsidP="005B5AA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General Santos City (</w:t>
            </w:r>
            <w:proofErr w:type="spellStart"/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Dadiangas</w:t>
            </w:r>
            <w:proofErr w:type="spellEnd"/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718A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-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C9A5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96,000.00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AB5C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8,000.00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E241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- 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BEF0" w14:textId="77777777" w:rsidR="005B5AA1" w:rsidRPr="005B5AA1" w:rsidRDefault="005B5AA1" w:rsidP="005B5AA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B5A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104,000.00 </w:t>
            </w:r>
          </w:p>
        </w:tc>
      </w:tr>
    </w:tbl>
    <w:p w14:paraId="4075B0DC" w14:textId="13F98F6D" w:rsidR="005916F0" w:rsidRPr="00A57FDC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5AA1">
        <w:rPr>
          <w:rFonts w:ascii="Arial" w:eastAsia="Arial" w:hAnsi="Arial" w:cs="Arial"/>
          <w:i/>
          <w:color w:val="0070C0"/>
          <w:sz w:val="16"/>
        </w:rPr>
        <w:t>XII</w:t>
      </w:r>
    </w:p>
    <w:p w14:paraId="7FD3DC7D" w14:textId="77777777" w:rsidR="005916F0" w:rsidRPr="00C46493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765B7F9" w14:textId="6F546FA8" w:rsidR="00443495" w:rsidRPr="004208E9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Pr="006502E2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18"/>
          <w:szCs w:val="24"/>
        </w:rPr>
      </w:pPr>
    </w:p>
    <w:p w14:paraId="207F068D" w14:textId="77777777" w:rsidR="00051125" w:rsidRPr="00AC7509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01"/>
        <w:gridCol w:w="1366"/>
      </w:tblGrid>
      <w:tr w:rsidR="00051125" w:rsidRPr="0070789B" w14:paraId="6F46AEBF" w14:textId="77777777" w:rsidTr="006502E2">
        <w:trPr>
          <w:trHeight w:val="20"/>
        </w:trPr>
        <w:tc>
          <w:tcPr>
            <w:tcW w:w="1554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shd w:val="clear" w:color="000000" w:fill="D0CECE"/>
            <w:vAlign w:val="center"/>
          </w:tcPr>
          <w:p w14:paraId="4277CEAA" w14:textId="77777777" w:rsidR="00051125" w:rsidRPr="00BD3F96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09401CDD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01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051125" w:rsidRPr="0070789B" w14:paraId="2E404A3C" w14:textId="77777777" w:rsidTr="006502E2">
        <w:trPr>
          <w:trHeight w:val="20"/>
        </w:trPr>
        <w:tc>
          <w:tcPr>
            <w:tcW w:w="1554" w:type="dxa"/>
            <w:vMerge/>
            <w:vAlign w:val="center"/>
            <w:hideMark/>
          </w:tcPr>
          <w:p w14:paraId="05AACF73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shd w:val="clear" w:color="000000" w:fill="D0CECE"/>
          </w:tcPr>
          <w:p w14:paraId="04E51E36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shd w:val="clear" w:color="000000" w:fill="D0CECE"/>
            <w:vAlign w:val="center"/>
            <w:hideMark/>
          </w:tcPr>
          <w:p w14:paraId="64C4B044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shd w:val="clear" w:color="000000" w:fill="D0CECE"/>
            <w:vAlign w:val="center"/>
            <w:hideMark/>
          </w:tcPr>
          <w:p w14:paraId="68AB18D0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01" w:type="dxa"/>
            <w:vMerge/>
            <w:vAlign w:val="center"/>
            <w:hideMark/>
          </w:tcPr>
          <w:p w14:paraId="06E3C3ED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F5FAA" w:rsidRPr="0070789B" w14:paraId="7CF4F7D8" w14:textId="77777777" w:rsidTr="006502E2">
        <w:trPr>
          <w:trHeight w:val="20"/>
        </w:trPr>
        <w:tc>
          <w:tcPr>
            <w:tcW w:w="1554" w:type="dxa"/>
            <w:shd w:val="clear" w:color="auto" w:fill="auto"/>
            <w:vAlign w:val="center"/>
            <w:hideMark/>
          </w:tcPr>
          <w:p w14:paraId="736CA840" w14:textId="23370A5B" w:rsidR="004F5FAA" w:rsidRPr="00F67BE5" w:rsidRDefault="004F5FAA" w:rsidP="004F5F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DSWD-CO</w:t>
            </w:r>
          </w:p>
        </w:tc>
        <w:tc>
          <w:tcPr>
            <w:tcW w:w="1267" w:type="dxa"/>
            <w:vAlign w:val="center"/>
          </w:tcPr>
          <w:p w14:paraId="2A7F91E4" w14:textId="10D95221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454,642,179.37 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B0CAE5E" w14:textId="7A3F1C10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08A447C" w14:textId="5A726201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3721819" w14:textId="5D24ADF8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2C869160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454,642,179.37 </w:t>
            </w:r>
          </w:p>
        </w:tc>
      </w:tr>
      <w:tr w:rsidR="004F5FAA" w:rsidRPr="0070789B" w14:paraId="3FA7FDA2" w14:textId="77777777" w:rsidTr="006502E2">
        <w:trPr>
          <w:trHeight w:val="20"/>
        </w:trPr>
        <w:tc>
          <w:tcPr>
            <w:tcW w:w="1554" w:type="dxa"/>
            <w:shd w:val="clear" w:color="auto" w:fill="auto"/>
            <w:vAlign w:val="center"/>
          </w:tcPr>
          <w:p w14:paraId="7C16F855" w14:textId="724163A5" w:rsidR="004F5FAA" w:rsidRPr="00F67BE5" w:rsidRDefault="004F5FAA" w:rsidP="004F5F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NRLMB-NROC</w:t>
            </w:r>
          </w:p>
        </w:tc>
        <w:tc>
          <w:tcPr>
            <w:tcW w:w="1267" w:type="dxa"/>
            <w:vAlign w:val="center"/>
          </w:tcPr>
          <w:p w14:paraId="1841BE02" w14:textId="290B77A9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D230036" w14:textId="160A5387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32,813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2CBD4E9" w14:textId="2E83E66C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21,681,146.00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0B3B873" w14:textId="2C7B357E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90,587,123.95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3B4BF2F1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112,268,269.95 </w:t>
            </w:r>
          </w:p>
        </w:tc>
      </w:tr>
      <w:tr w:rsidR="004F5FAA" w:rsidRPr="0070789B" w14:paraId="1DB0CE3C" w14:textId="77777777" w:rsidTr="006502E2">
        <w:trPr>
          <w:trHeight w:val="20"/>
        </w:trPr>
        <w:tc>
          <w:tcPr>
            <w:tcW w:w="1554" w:type="dxa"/>
            <w:shd w:val="clear" w:color="auto" w:fill="auto"/>
            <w:vAlign w:val="center"/>
          </w:tcPr>
          <w:p w14:paraId="5F3B844B" w14:textId="12FFB1E0" w:rsidR="004F5FAA" w:rsidRPr="00F67BE5" w:rsidRDefault="004F5FAA" w:rsidP="004F5F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NRLMB-VDRC</w:t>
            </w:r>
          </w:p>
        </w:tc>
        <w:tc>
          <w:tcPr>
            <w:tcW w:w="1267" w:type="dxa"/>
            <w:vAlign w:val="center"/>
          </w:tcPr>
          <w:p w14:paraId="094F1E6C" w14:textId="394C5E12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B4EBB4C" w14:textId="0F8427B2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5,202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67436F0" w14:textId="0F1B9068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2,887,160.00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36C7758" w14:textId="45A4C670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33,743,141.53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2508E97F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36,630,301.53 </w:t>
            </w:r>
          </w:p>
        </w:tc>
      </w:tr>
      <w:tr w:rsidR="004F5FAA" w:rsidRPr="0070789B" w14:paraId="18DE1D14" w14:textId="77777777" w:rsidTr="006502E2">
        <w:trPr>
          <w:trHeight w:val="20"/>
        </w:trPr>
        <w:tc>
          <w:tcPr>
            <w:tcW w:w="1554" w:type="dxa"/>
            <w:shd w:val="clear" w:color="auto" w:fill="auto"/>
            <w:vAlign w:val="center"/>
          </w:tcPr>
          <w:p w14:paraId="5F33ABFC" w14:textId="7413E64A" w:rsidR="004F5FAA" w:rsidRPr="00F67BE5" w:rsidRDefault="004F5FAA" w:rsidP="004F5F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DSWD-FO XII</w:t>
            </w:r>
          </w:p>
        </w:tc>
        <w:tc>
          <w:tcPr>
            <w:tcW w:w="1267" w:type="dxa"/>
            <w:vAlign w:val="center"/>
          </w:tcPr>
          <w:p w14:paraId="5C59C72D" w14:textId="3A919232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3,000,969.85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3AE103" w14:textId="56BCC4B5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13,153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CD71DDD" w14:textId="01A27057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8,393,533.75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3A15ED0" w14:textId="532A2969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36,154,699.80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0A370264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47,549,203.40 </w:t>
            </w:r>
          </w:p>
        </w:tc>
      </w:tr>
      <w:tr w:rsidR="004F5FAA" w:rsidRPr="0070789B" w14:paraId="7F0F8AAD" w14:textId="77777777" w:rsidTr="006502E2">
        <w:trPr>
          <w:trHeight w:val="20"/>
        </w:trPr>
        <w:tc>
          <w:tcPr>
            <w:tcW w:w="1554" w:type="dxa"/>
            <w:shd w:val="clear" w:color="auto" w:fill="auto"/>
            <w:vAlign w:val="center"/>
          </w:tcPr>
          <w:p w14:paraId="265023D9" w14:textId="0A1205F8" w:rsidR="004F5FAA" w:rsidRPr="00F67BE5" w:rsidRDefault="004F5FAA" w:rsidP="004F5F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Other FOs</w:t>
            </w:r>
          </w:p>
        </w:tc>
        <w:tc>
          <w:tcPr>
            <w:tcW w:w="1267" w:type="dxa"/>
            <w:vAlign w:val="center"/>
          </w:tcPr>
          <w:p w14:paraId="6B7BF959" w14:textId="0D94E3B4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58,536,910.34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E19AA0B" w14:textId="066C6993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324,061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99D3241" w14:textId="164DEC01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171,162,289.34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6E9D9B50" w14:textId="6D7EDB3D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476,809,059.65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C32A4" w14:textId="4590CC5A" w:rsidR="004F5FAA" w:rsidRPr="00F67BE5" w:rsidRDefault="004F5FAA" w:rsidP="004F5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706,508,259.33 </w:t>
            </w:r>
          </w:p>
        </w:tc>
      </w:tr>
      <w:tr w:rsidR="004F5FAA" w:rsidRPr="0070789B" w14:paraId="44D75987" w14:textId="77777777" w:rsidTr="006502E2">
        <w:trPr>
          <w:trHeight w:val="20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9D9EA57" w14:textId="438AAD78" w:rsidR="004F5FAA" w:rsidRDefault="004F5FAA" w:rsidP="004F5FA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7FFBA70" w14:textId="4E90D538" w:rsidR="004F5FAA" w:rsidRDefault="004F5FAA" w:rsidP="004F5F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516,180,059.56 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8A03953" w14:textId="3343D1AA" w:rsidR="004F5FAA" w:rsidRDefault="004F5FAA" w:rsidP="004F5F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375,229 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05C3E871" w14:textId="21494686" w:rsidR="004F5FAA" w:rsidRDefault="004F5FAA" w:rsidP="004F5F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204,124,129.09 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vAlign w:val="center"/>
          </w:tcPr>
          <w:p w14:paraId="47B8EEDF" w14:textId="69E843F0" w:rsidR="004F5FAA" w:rsidRDefault="004F5FAA" w:rsidP="004F5F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637,294,024.93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0C737" w14:textId="11299CA9" w:rsidR="004F5FAA" w:rsidRDefault="004F5FAA" w:rsidP="004F5F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1,357,598,213.58 </w:t>
            </w:r>
          </w:p>
        </w:tc>
      </w:tr>
    </w:tbl>
    <w:p w14:paraId="5CD524D5" w14:textId="4FCDD1D5" w:rsidR="00051125" w:rsidRPr="0070789B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23FA6">
        <w:rPr>
          <w:rFonts w:ascii="Arial" w:hAnsi="Arial" w:cs="Arial"/>
          <w:i/>
          <w:sz w:val="16"/>
          <w:szCs w:val="24"/>
        </w:rPr>
        <w:t xml:space="preserve">Summary is as of </w:t>
      </w:r>
      <w:r w:rsidR="006502E2">
        <w:rPr>
          <w:rFonts w:ascii="Arial" w:hAnsi="Arial" w:cs="Arial"/>
          <w:i/>
          <w:sz w:val="16"/>
          <w:szCs w:val="24"/>
        </w:rPr>
        <w:t xml:space="preserve">06 November </w:t>
      </w:r>
      <w:r>
        <w:rPr>
          <w:rFonts w:ascii="Arial" w:hAnsi="Arial" w:cs="Arial"/>
          <w:i/>
          <w:sz w:val="16"/>
          <w:szCs w:val="24"/>
        </w:rPr>
        <w:t>2021, 4PM.</w:t>
      </w:r>
    </w:p>
    <w:p w14:paraId="77F2F9E2" w14:textId="32D2930C" w:rsidR="00051125" w:rsidRPr="00A57FDC" w:rsidRDefault="00051125" w:rsidP="0005112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5AA1">
        <w:rPr>
          <w:rFonts w:ascii="Arial" w:eastAsia="Arial" w:hAnsi="Arial" w:cs="Arial"/>
          <w:i/>
          <w:color w:val="0070C0"/>
          <w:sz w:val="16"/>
        </w:rPr>
        <w:t>XII</w:t>
      </w:r>
    </w:p>
    <w:p w14:paraId="3F6952A1" w14:textId="77777777" w:rsidR="00051125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FE7C33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0F550088" w:rsidR="00BE41D3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454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 xml:space="preserve"> m</w:t>
      </w:r>
      <w:r w:rsidRPr="00D36B1A">
        <w:rPr>
          <w:rFonts w:ascii="Arial" w:eastAsia="Arial" w:hAnsi="Arial" w:cs="Arial"/>
          <w:sz w:val="24"/>
          <w:szCs w:val="24"/>
        </w:rPr>
        <w:t>illion Quick Response Fund (QRF) at the DSWD-Central Office.</w:t>
      </w:r>
    </w:p>
    <w:p w14:paraId="0B359DA4" w14:textId="0FF06B61" w:rsidR="00BE41D3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million 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 xml:space="preserve">FO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22ED58D3" w14:textId="5FA44C05" w:rsidR="00BE41D3" w:rsidRPr="006B36B6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58.54</w:t>
      </w:r>
      <w:r>
        <w:rPr>
          <w:rFonts w:ascii="Arial" w:hAnsi="Arial" w:cs="Arial"/>
          <w:sz w:val="24"/>
          <w:szCs w:val="24"/>
        </w:rPr>
        <w:t xml:space="preserve"> million</w:t>
      </w:r>
      <w:r w:rsidRPr="006B36B6">
        <w:rPr>
          <w:rFonts w:ascii="Arial" w:hAnsi="Arial" w:cs="Arial"/>
          <w:sz w:val="24"/>
          <w:szCs w:val="24"/>
        </w:rPr>
        <w:t xml:space="preserve">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fire </w:t>
      </w:r>
      <w:r>
        <w:rPr>
          <w:rFonts w:ascii="Arial" w:hAnsi="Arial" w:cs="Arial"/>
          <w:sz w:val="24"/>
          <w:szCs w:val="24"/>
        </w:rPr>
        <w:t xml:space="preserve">incident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06754BA1" w14:textId="77777777" w:rsidR="00BE41D3" w:rsidRPr="00207C69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CE32312" w14:textId="77777777" w:rsidR="00BE41D3" w:rsidRPr="00FE7C33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204722EB" w:rsidR="00BE41D3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015 </w:t>
      </w:r>
      <w:r w:rsidRPr="00D36B1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2,</w:t>
      </w:r>
      <w:r>
        <w:rPr>
          <w:rFonts w:ascii="Arial" w:eastAsia="Arial" w:hAnsi="Arial" w:cs="Arial"/>
          <w:sz w:val="24"/>
          <w:szCs w:val="24"/>
        </w:rPr>
        <w:t>813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>
        <w:rPr>
          <w:rFonts w:ascii="Arial" w:eastAsia="Arial" w:hAnsi="Arial" w:cs="Arial"/>
          <w:sz w:val="24"/>
          <w:szCs w:val="24"/>
        </w:rPr>
        <w:t xml:space="preserve"> 5,2</w:t>
      </w:r>
      <w:r>
        <w:rPr>
          <w:rFonts w:ascii="Arial" w:eastAsia="Arial" w:hAnsi="Arial" w:cs="Arial"/>
          <w:sz w:val="24"/>
          <w:szCs w:val="24"/>
        </w:rPr>
        <w:t>02</w:t>
      </w:r>
      <w:r w:rsidRPr="0038449E"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City.</w:t>
      </w:r>
    </w:p>
    <w:p w14:paraId="7F8ABA4C" w14:textId="56EAB2DF" w:rsidR="00BE41D3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153 </w:t>
      </w:r>
      <w:r w:rsidRPr="00D36B1A">
        <w:rPr>
          <w:rFonts w:ascii="Arial" w:eastAsia="Arial" w:hAnsi="Arial" w:cs="Arial"/>
          <w:sz w:val="24"/>
          <w:szCs w:val="24"/>
        </w:rPr>
        <w:t xml:space="preserve">FFPs </w:t>
      </w:r>
      <w:r>
        <w:rPr>
          <w:rFonts w:ascii="Arial" w:eastAsia="Arial" w:hAnsi="Arial" w:cs="Arial"/>
          <w:sz w:val="24"/>
          <w:szCs w:val="24"/>
        </w:rPr>
        <w:t xml:space="preserve">available </w:t>
      </w:r>
      <w:r w:rsidRPr="00D36B1A">
        <w:rPr>
          <w:rFonts w:ascii="Arial" w:eastAsia="Arial" w:hAnsi="Arial" w:cs="Arial"/>
          <w:sz w:val="24"/>
          <w:szCs w:val="24"/>
        </w:rPr>
        <w:t xml:space="preserve">at DSWD-FO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0819EE06" w14:textId="15732ADD" w:rsidR="00BE41D3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324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061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9E1B91">
        <w:rPr>
          <w:rFonts w:ascii="Arial" w:eastAsia="Arial" w:hAnsi="Arial" w:cs="Arial"/>
          <w:sz w:val="24"/>
          <w:szCs w:val="24"/>
        </w:rPr>
        <w:t>fire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 xml:space="preserve"> incident </w:t>
      </w:r>
      <w:r w:rsidRPr="008136AC">
        <w:rPr>
          <w:rFonts w:ascii="Arial" w:eastAsia="Arial" w:hAnsi="Arial" w:cs="Arial"/>
          <w:sz w:val="24"/>
          <w:szCs w:val="24"/>
        </w:rPr>
        <w:t>through inter-FO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65CD0BC2" w14:textId="07C75998" w:rsidR="00BE41D3" w:rsidRPr="00357A7D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57A7D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637</w:t>
      </w:r>
      <w:r w:rsidRPr="00357A7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29</w:t>
      </w:r>
      <w:r w:rsidRPr="00357A7D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B94724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0C753A" w:rsidRDefault="00890552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3DA4BEC" w14:textId="10C9E2FF" w:rsidR="00F67BE5" w:rsidRPr="00F67BE5" w:rsidRDefault="00F67BE5" w:rsidP="00F67B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BE5">
        <w:rPr>
          <w:rFonts w:ascii="Arial" w:hAnsi="Arial" w:cs="Arial"/>
          <w:sz w:val="24"/>
          <w:szCs w:val="24"/>
        </w:rPr>
        <w:t xml:space="preserve">DSWD FO XII provided 1,105 pieces of DAFAC to </w:t>
      </w:r>
      <w:r w:rsidR="0045505D">
        <w:rPr>
          <w:rFonts w:ascii="Arial" w:hAnsi="Arial" w:cs="Arial"/>
          <w:sz w:val="24"/>
          <w:szCs w:val="24"/>
        </w:rPr>
        <w:t>the City Social Welfare and Development Office (</w:t>
      </w:r>
      <w:r w:rsidRPr="00F67BE5">
        <w:rPr>
          <w:rFonts w:ascii="Arial" w:hAnsi="Arial" w:cs="Arial"/>
          <w:sz w:val="24"/>
          <w:szCs w:val="24"/>
        </w:rPr>
        <w:t>CSWDO</w:t>
      </w:r>
      <w:r w:rsidR="0045505D">
        <w:rPr>
          <w:rFonts w:ascii="Arial" w:hAnsi="Arial" w:cs="Arial"/>
          <w:sz w:val="24"/>
          <w:szCs w:val="24"/>
        </w:rPr>
        <w:t>) of</w:t>
      </w:r>
      <w:r w:rsidRPr="00F67BE5">
        <w:rPr>
          <w:rFonts w:ascii="Arial" w:hAnsi="Arial" w:cs="Arial"/>
          <w:sz w:val="24"/>
          <w:szCs w:val="24"/>
        </w:rPr>
        <w:t xml:space="preserve"> </w:t>
      </w:r>
      <w:r w:rsidR="0045505D">
        <w:rPr>
          <w:rFonts w:ascii="Arial" w:hAnsi="Arial" w:cs="Arial"/>
          <w:sz w:val="24"/>
          <w:szCs w:val="24"/>
        </w:rPr>
        <w:t xml:space="preserve">LGU </w:t>
      </w:r>
      <w:r w:rsidRPr="00F67BE5">
        <w:rPr>
          <w:rFonts w:ascii="Arial" w:hAnsi="Arial" w:cs="Arial"/>
          <w:sz w:val="24"/>
          <w:szCs w:val="24"/>
        </w:rPr>
        <w:t xml:space="preserve">General Santos City </w:t>
      </w:r>
      <w:r w:rsidR="0045505D">
        <w:rPr>
          <w:rFonts w:ascii="Arial" w:hAnsi="Arial" w:cs="Arial"/>
          <w:sz w:val="24"/>
          <w:szCs w:val="24"/>
        </w:rPr>
        <w:t xml:space="preserve">on 04 November 2021 </w:t>
      </w:r>
      <w:r w:rsidRPr="00F67BE5">
        <w:rPr>
          <w:rFonts w:ascii="Arial" w:hAnsi="Arial" w:cs="Arial"/>
          <w:sz w:val="24"/>
          <w:szCs w:val="24"/>
        </w:rPr>
        <w:t>for proper documentation of displaced families and interventions provided.</w:t>
      </w:r>
    </w:p>
    <w:p w14:paraId="2F619C22" w14:textId="046C1255" w:rsidR="00EE563A" w:rsidRPr="00313501" w:rsidRDefault="00CE6A07" w:rsidP="00EE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</w:t>
      </w:r>
      <w:r w:rsidR="00161F7F">
        <w:rPr>
          <w:rFonts w:ascii="Arial" w:eastAsia="Arial" w:hAnsi="Arial" w:cs="Arial"/>
          <w:sz w:val="24"/>
          <w:szCs w:val="24"/>
        </w:rPr>
        <w:t xml:space="preserve">XII </w:t>
      </w:r>
      <w:r>
        <w:rPr>
          <w:rFonts w:ascii="Arial" w:eastAsia="Arial" w:hAnsi="Arial" w:cs="Arial"/>
          <w:sz w:val="24"/>
          <w:szCs w:val="24"/>
        </w:rPr>
        <w:t xml:space="preserve">DRMD </w:t>
      </w:r>
      <w:r w:rsidRPr="00D94900">
        <w:rPr>
          <w:rFonts w:ascii="Arial" w:eastAsia="Arial" w:hAnsi="Arial" w:cs="Arial"/>
          <w:sz w:val="24"/>
          <w:szCs w:val="24"/>
        </w:rPr>
        <w:t xml:space="preserve">continuously coordinates with </w:t>
      </w:r>
      <w:r>
        <w:rPr>
          <w:rFonts w:ascii="Arial" w:eastAsia="Arial" w:hAnsi="Arial" w:cs="Arial"/>
          <w:sz w:val="24"/>
          <w:szCs w:val="24"/>
        </w:rPr>
        <w:t>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161F7F">
        <w:rPr>
          <w:rFonts w:ascii="Arial" w:eastAsia="Arial" w:hAnsi="Arial" w:cs="Arial"/>
          <w:sz w:val="24"/>
          <w:szCs w:val="24"/>
        </w:rPr>
        <w:t>General Santos</w:t>
      </w:r>
      <w:r>
        <w:rPr>
          <w:rFonts w:ascii="Arial" w:eastAsia="Arial" w:hAnsi="Arial" w:cs="Arial"/>
          <w:sz w:val="24"/>
          <w:szCs w:val="24"/>
        </w:rPr>
        <w:t xml:space="preserve"> City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possible augmentation</w:t>
      </w:r>
      <w:r>
        <w:rPr>
          <w:rFonts w:ascii="Arial" w:eastAsia="Arial" w:hAnsi="Arial" w:cs="Arial"/>
          <w:sz w:val="24"/>
          <w:szCs w:val="24"/>
        </w:rPr>
        <w:t xml:space="preserve"> assistance needed by the </w:t>
      </w:r>
      <w:r w:rsidRPr="00D94900">
        <w:rPr>
          <w:rFonts w:ascii="Arial" w:eastAsia="Arial" w:hAnsi="Arial" w:cs="Arial"/>
          <w:sz w:val="24"/>
          <w:szCs w:val="24"/>
        </w:rPr>
        <w:t>affected families.</w:t>
      </w:r>
    </w:p>
    <w:p w14:paraId="56AF9A91" w14:textId="77777777" w:rsidR="00EE563A" w:rsidRDefault="00EE563A" w:rsidP="00161F7F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326FCE6" w14:textId="77777777" w:rsidR="00EE563A" w:rsidRDefault="00EE56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3EEA074D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6FF1171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135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CE391BD" w:rsidR="008B67DD" w:rsidRPr="008F6E9B" w:rsidRDefault="0031350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729F4FE" w:rsidR="007F2E58" w:rsidRPr="00D23BDC" w:rsidRDefault="0031350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BC97" w14:textId="77777777" w:rsidR="00FD1607" w:rsidRDefault="00FD1607" w:rsidP="00C12445">
      <w:pPr>
        <w:spacing w:after="0" w:line="240" w:lineRule="auto"/>
      </w:pPr>
      <w:r>
        <w:separator/>
      </w:r>
    </w:p>
  </w:endnote>
  <w:endnote w:type="continuationSeparator" w:id="0">
    <w:p w14:paraId="0D103DC8" w14:textId="77777777" w:rsidR="00FD1607" w:rsidRDefault="00FD160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19CEB2A" w:rsidR="002627B9" w:rsidRPr="00195A09" w:rsidRDefault="002627B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 w:rsidR="00F679B1">
              <w:rPr>
                <w:sz w:val="16"/>
                <w:szCs w:val="20"/>
              </w:rPr>
              <w:t>DROMIC Report #</w:t>
            </w:r>
            <w:r w:rsidR="00313501">
              <w:rPr>
                <w:sz w:val="16"/>
                <w:szCs w:val="20"/>
              </w:rPr>
              <w:t xml:space="preserve">1 </w:t>
            </w:r>
            <w:r>
              <w:rPr>
                <w:sz w:val="16"/>
                <w:szCs w:val="20"/>
              </w:rPr>
              <w:t xml:space="preserve">on the Fire Incident in </w:t>
            </w:r>
            <w:proofErr w:type="spellStart"/>
            <w:r w:rsidRPr="006E75A7">
              <w:rPr>
                <w:sz w:val="16"/>
                <w:szCs w:val="20"/>
              </w:rPr>
              <w:t>Brgy</w:t>
            </w:r>
            <w:proofErr w:type="spellEnd"/>
            <w:r w:rsidRPr="006E75A7">
              <w:rPr>
                <w:sz w:val="16"/>
                <w:szCs w:val="20"/>
              </w:rPr>
              <w:t xml:space="preserve">. </w:t>
            </w:r>
            <w:proofErr w:type="spellStart"/>
            <w:r w:rsidR="00313501">
              <w:rPr>
                <w:sz w:val="16"/>
                <w:szCs w:val="20"/>
              </w:rPr>
              <w:t>Calumpang</w:t>
            </w:r>
            <w:proofErr w:type="spellEnd"/>
            <w:r w:rsidR="00313501">
              <w:rPr>
                <w:sz w:val="16"/>
                <w:szCs w:val="20"/>
              </w:rPr>
              <w:t>, General Santos</w:t>
            </w:r>
            <w:r w:rsidRPr="006E75A7">
              <w:rPr>
                <w:sz w:val="16"/>
                <w:szCs w:val="20"/>
              </w:rPr>
              <w:t xml:space="preserve">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313501">
              <w:rPr>
                <w:sz w:val="16"/>
                <w:szCs w:val="20"/>
              </w:rPr>
              <w:t>06 November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Pr="002043C6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E1B91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E1B91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3491" w14:textId="77777777" w:rsidR="00FD1607" w:rsidRDefault="00FD1607" w:rsidP="00C12445">
      <w:pPr>
        <w:spacing w:after="0" w:line="240" w:lineRule="auto"/>
      </w:pPr>
      <w:r>
        <w:separator/>
      </w:r>
    </w:p>
  </w:footnote>
  <w:footnote w:type="continuationSeparator" w:id="0">
    <w:p w14:paraId="3A09D65B" w14:textId="77777777" w:rsidR="00FD1607" w:rsidRDefault="00FD160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5334"/>
    <w:rsid w:val="00597F5C"/>
    <w:rsid w:val="005A242E"/>
    <w:rsid w:val="005A4529"/>
    <w:rsid w:val="005B2DC1"/>
    <w:rsid w:val="005B5AA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4E6F"/>
    <w:rsid w:val="00DC1285"/>
    <w:rsid w:val="00DC2700"/>
    <w:rsid w:val="00DC3966"/>
    <w:rsid w:val="00DD0528"/>
    <w:rsid w:val="00DD7925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5CB2-DEB8-4AA7-92D1-73D434E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61</cp:revision>
  <cp:lastPrinted>2021-07-05T02:11:00Z</cp:lastPrinted>
  <dcterms:created xsi:type="dcterms:W3CDTF">2021-08-25T07:31:00Z</dcterms:created>
  <dcterms:modified xsi:type="dcterms:W3CDTF">2021-11-06T08:58:00Z</dcterms:modified>
</cp:coreProperties>
</file>