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3AF5F9" w14:textId="7BC0199C" w:rsidR="00EE4EC2" w:rsidRDefault="00EE4EC2" w:rsidP="0038550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E4EC2">
        <w:rPr>
          <w:rFonts w:ascii="Arial" w:eastAsia="Arial" w:hAnsi="Arial" w:cs="Arial"/>
          <w:b/>
          <w:sz w:val="32"/>
          <w:szCs w:val="24"/>
        </w:rPr>
        <w:t>DSWD DROMIC Preparedness for Response Report #</w:t>
      </w:r>
      <w:r w:rsidR="00F76F48">
        <w:rPr>
          <w:rFonts w:ascii="Arial" w:eastAsia="Arial" w:hAnsi="Arial" w:cs="Arial"/>
          <w:b/>
          <w:sz w:val="32"/>
          <w:szCs w:val="24"/>
        </w:rPr>
        <w:t>2</w:t>
      </w:r>
      <w:r>
        <w:rPr>
          <w:rFonts w:ascii="Arial" w:eastAsia="Arial" w:hAnsi="Arial" w:cs="Arial"/>
          <w:b/>
          <w:sz w:val="32"/>
          <w:szCs w:val="24"/>
        </w:rPr>
        <w:t xml:space="preserve"> on Tropical Depression ODETTE</w:t>
      </w:r>
    </w:p>
    <w:p w14:paraId="4FA354BB" w14:textId="70D70535" w:rsidR="00155355" w:rsidRPr="00FE441A" w:rsidRDefault="003D09A9" w:rsidP="0038550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441A">
        <w:rPr>
          <w:rFonts w:ascii="Arial" w:eastAsia="Arial" w:hAnsi="Arial" w:cs="Arial"/>
          <w:sz w:val="24"/>
          <w:szCs w:val="24"/>
        </w:rPr>
        <w:t>as</w:t>
      </w:r>
      <w:r w:rsidR="00546DEE" w:rsidRPr="00FE441A">
        <w:rPr>
          <w:rFonts w:ascii="Arial" w:eastAsia="Arial" w:hAnsi="Arial" w:cs="Arial"/>
          <w:sz w:val="24"/>
          <w:szCs w:val="24"/>
        </w:rPr>
        <w:t xml:space="preserve"> </w:t>
      </w:r>
      <w:r w:rsidRPr="00FE441A">
        <w:rPr>
          <w:rFonts w:ascii="Arial" w:eastAsia="Arial" w:hAnsi="Arial" w:cs="Arial"/>
          <w:sz w:val="24"/>
          <w:szCs w:val="24"/>
        </w:rPr>
        <w:t>of</w:t>
      </w:r>
      <w:r w:rsidR="00546DEE" w:rsidRPr="00FE441A">
        <w:rPr>
          <w:rFonts w:ascii="Arial" w:eastAsia="Arial" w:hAnsi="Arial" w:cs="Arial"/>
          <w:sz w:val="24"/>
          <w:szCs w:val="24"/>
        </w:rPr>
        <w:t xml:space="preserve"> </w:t>
      </w:r>
      <w:r w:rsidR="005832BE">
        <w:rPr>
          <w:rFonts w:ascii="Arial" w:eastAsia="Arial" w:hAnsi="Arial" w:cs="Arial"/>
          <w:sz w:val="24"/>
          <w:szCs w:val="24"/>
        </w:rPr>
        <w:t>1</w:t>
      </w:r>
      <w:r w:rsidR="00F76F48">
        <w:rPr>
          <w:rFonts w:ascii="Arial" w:eastAsia="Arial" w:hAnsi="Arial" w:cs="Arial"/>
          <w:sz w:val="24"/>
          <w:szCs w:val="24"/>
        </w:rPr>
        <w:t>4</w:t>
      </w:r>
      <w:r w:rsidR="005832BE">
        <w:rPr>
          <w:rFonts w:ascii="Arial" w:eastAsia="Arial" w:hAnsi="Arial" w:cs="Arial"/>
          <w:sz w:val="24"/>
          <w:szCs w:val="24"/>
        </w:rPr>
        <w:t xml:space="preserve"> December </w:t>
      </w:r>
      <w:r w:rsidR="009864A8" w:rsidRPr="00FE441A">
        <w:rPr>
          <w:rFonts w:ascii="Arial" w:eastAsia="Arial" w:hAnsi="Arial" w:cs="Arial"/>
          <w:sz w:val="24"/>
          <w:szCs w:val="24"/>
        </w:rPr>
        <w:t>202</w:t>
      </w:r>
      <w:r w:rsidR="007815CF" w:rsidRPr="00FE441A">
        <w:rPr>
          <w:rFonts w:ascii="Arial" w:eastAsia="Arial" w:hAnsi="Arial" w:cs="Arial"/>
          <w:sz w:val="24"/>
          <w:szCs w:val="24"/>
        </w:rPr>
        <w:t>1</w:t>
      </w:r>
      <w:r w:rsidRPr="00FE441A">
        <w:rPr>
          <w:rFonts w:ascii="Arial" w:eastAsia="Arial" w:hAnsi="Arial" w:cs="Arial"/>
          <w:sz w:val="24"/>
          <w:szCs w:val="24"/>
        </w:rPr>
        <w:t>,</w:t>
      </w:r>
      <w:r w:rsidR="00546DEE" w:rsidRPr="00FE441A">
        <w:rPr>
          <w:rFonts w:ascii="Arial" w:eastAsia="Arial" w:hAnsi="Arial" w:cs="Arial"/>
          <w:sz w:val="24"/>
          <w:szCs w:val="24"/>
        </w:rPr>
        <w:t xml:space="preserve"> </w:t>
      </w:r>
      <w:r w:rsidR="009864A8" w:rsidRPr="00FE441A">
        <w:rPr>
          <w:rFonts w:ascii="Arial" w:eastAsia="Arial" w:hAnsi="Arial" w:cs="Arial"/>
          <w:sz w:val="24"/>
          <w:szCs w:val="24"/>
        </w:rPr>
        <w:t>6</w:t>
      </w:r>
      <w:r w:rsidR="007412EE" w:rsidRPr="00FE441A">
        <w:rPr>
          <w:rFonts w:ascii="Arial" w:eastAsia="Arial" w:hAnsi="Arial" w:cs="Arial"/>
          <w:sz w:val="24"/>
          <w:szCs w:val="24"/>
        </w:rPr>
        <w:t>PM</w:t>
      </w:r>
    </w:p>
    <w:p w14:paraId="47F66CEA" w14:textId="387F54B8" w:rsidR="00CA5761" w:rsidRPr="00FE441A" w:rsidRDefault="00CA5761" w:rsidP="0038550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7C63B6F4" w14:textId="77777777" w:rsidR="00F14D7B" w:rsidRDefault="00114D5E" w:rsidP="0038550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F14D7B">
        <w:rPr>
          <w:rFonts w:ascii="Arial" w:hAnsi="Arial" w:cs="Arial"/>
          <w:b/>
          <w:color w:val="002060"/>
          <w:sz w:val="28"/>
        </w:rPr>
        <w:t>Situation Overview</w:t>
      </w:r>
    </w:p>
    <w:p w14:paraId="032EB721" w14:textId="77777777" w:rsidR="00F14D7B" w:rsidRDefault="00F14D7B" w:rsidP="0038550A">
      <w:pPr>
        <w:pStyle w:val="NormalWeb"/>
        <w:spacing w:beforeAutospacing="0" w:afterAutospacing="0" w:line="240" w:lineRule="auto"/>
        <w:ind w:left="426"/>
        <w:contextualSpacing/>
        <w:jc w:val="both"/>
        <w:rPr>
          <w:rFonts w:ascii="Arial" w:eastAsia="Calibri" w:hAnsi="Arial" w:cs="Arial"/>
          <w:bCs/>
          <w:lang w:val="en-PH" w:eastAsia="en-PH"/>
        </w:rPr>
      </w:pPr>
    </w:p>
    <w:p w14:paraId="3F5F8E59" w14:textId="33BE3E62" w:rsidR="005832BE" w:rsidRDefault="00FE441A" w:rsidP="005832BE">
      <w:pPr>
        <w:pStyle w:val="NormalWeb"/>
        <w:spacing w:beforeAutospacing="0" w:afterAutospacing="0" w:line="240" w:lineRule="auto"/>
        <w:contextualSpacing/>
        <w:jc w:val="both"/>
        <w:rPr>
          <w:rFonts w:ascii="Arial" w:eastAsia="Calibri" w:hAnsi="Arial" w:cs="Arial"/>
          <w:bCs/>
          <w:lang w:val="en-PH" w:eastAsia="en-PH"/>
        </w:rPr>
      </w:pPr>
      <w:r w:rsidRPr="00FE441A">
        <w:rPr>
          <w:noProof/>
          <w:shd w:val="clear" w:color="auto" w:fill="FFFFFF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1F1DD160" wp14:editId="210C6F9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653155" cy="2989580"/>
            <wp:effectExtent l="0" t="0" r="444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59" cy="2990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8C" w:rsidRPr="00F14D7B">
        <w:rPr>
          <w:rFonts w:ascii="Arial" w:eastAsia="Calibri" w:hAnsi="Arial" w:cs="Arial"/>
          <w:bCs/>
          <w:lang w:val="en-PH" w:eastAsia="en-PH"/>
        </w:rPr>
        <w:t xml:space="preserve">Issued at </w:t>
      </w:r>
      <w:r w:rsidR="00683774" w:rsidRPr="00F14D7B">
        <w:rPr>
          <w:rFonts w:ascii="Arial" w:eastAsia="Calibri" w:hAnsi="Arial" w:cs="Arial"/>
          <w:bCs/>
          <w:lang w:val="en-PH" w:eastAsia="en-PH"/>
        </w:rPr>
        <w:t>11</w:t>
      </w:r>
      <w:r w:rsidR="00D0418C" w:rsidRPr="00F14D7B">
        <w:rPr>
          <w:rFonts w:ascii="Arial" w:eastAsia="Calibri" w:hAnsi="Arial" w:cs="Arial"/>
          <w:bCs/>
          <w:lang w:val="en-PH" w:eastAsia="en-PH"/>
        </w:rPr>
        <w:t xml:space="preserve">:00 </w:t>
      </w:r>
      <w:r w:rsidR="00683774" w:rsidRPr="00F14D7B">
        <w:rPr>
          <w:rFonts w:ascii="Arial" w:eastAsia="Calibri" w:hAnsi="Arial" w:cs="Arial"/>
          <w:bCs/>
          <w:lang w:val="en-PH" w:eastAsia="en-PH"/>
        </w:rPr>
        <w:t>A</w:t>
      </w:r>
      <w:r w:rsidR="00D0418C" w:rsidRPr="00F14D7B">
        <w:rPr>
          <w:rFonts w:ascii="Arial" w:eastAsia="Calibri" w:hAnsi="Arial" w:cs="Arial"/>
          <w:bCs/>
          <w:lang w:val="en-PH" w:eastAsia="en-PH"/>
        </w:rPr>
        <w:t xml:space="preserve">M, </w:t>
      </w:r>
      <w:r w:rsidR="00CC542D">
        <w:rPr>
          <w:rFonts w:ascii="Arial" w:eastAsia="Calibri" w:hAnsi="Arial" w:cs="Arial"/>
          <w:bCs/>
          <w:lang w:val="en-PH" w:eastAsia="en-PH"/>
        </w:rPr>
        <w:t>1</w:t>
      </w:r>
      <w:r w:rsidR="00F76F48">
        <w:rPr>
          <w:rFonts w:ascii="Arial" w:eastAsia="Calibri" w:hAnsi="Arial" w:cs="Arial"/>
          <w:bCs/>
          <w:lang w:val="en-PH" w:eastAsia="en-PH"/>
        </w:rPr>
        <w:t>4</w:t>
      </w:r>
      <w:r w:rsidR="00CC542D">
        <w:rPr>
          <w:rFonts w:ascii="Arial" w:eastAsia="Calibri" w:hAnsi="Arial" w:cs="Arial"/>
          <w:bCs/>
          <w:lang w:val="en-PH" w:eastAsia="en-PH"/>
        </w:rPr>
        <w:t xml:space="preserve"> December 2021</w:t>
      </w:r>
      <w:r w:rsidR="00D0418C" w:rsidRPr="00F14D7B">
        <w:rPr>
          <w:rFonts w:ascii="Arial" w:eastAsia="Calibri" w:hAnsi="Arial" w:cs="Arial"/>
          <w:bCs/>
          <w:lang w:val="en-PH" w:eastAsia="en-PH"/>
        </w:rPr>
        <w:t xml:space="preserve">, </w:t>
      </w:r>
      <w:r w:rsidR="00F76F48">
        <w:rPr>
          <w:rFonts w:ascii="Arial" w:eastAsia="Calibri" w:hAnsi="Arial" w:cs="Arial"/>
          <w:bCs/>
          <w:lang w:val="en-PH" w:eastAsia="en-PH"/>
        </w:rPr>
        <w:t>“RAI” intensifies into Severe Tropical Storm (STS) while moving West Northwestward towards Palau.</w:t>
      </w:r>
    </w:p>
    <w:p w14:paraId="416D700C" w14:textId="2C45A8A6" w:rsidR="005832BE" w:rsidRDefault="005832BE" w:rsidP="005832BE">
      <w:pPr>
        <w:pStyle w:val="NormalWeb"/>
        <w:spacing w:beforeAutospacing="0" w:afterAutospacing="0" w:line="240" w:lineRule="auto"/>
        <w:contextualSpacing/>
        <w:jc w:val="both"/>
        <w:rPr>
          <w:rFonts w:ascii="Arial" w:eastAsia="Calibri" w:hAnsi="Arial" w:cs="Arial"/>
          <w:bCs/>
          <w:lang w:val="en-PH" w:eastAsia="en-PH"/>
        </w:rPr>
      </w:pPr>
    </w:p>
    <w:p w14:paraId="1D03DA87" w14:textId="39A7C1DC" w:rsidR="005832BE" w:rsidRPr="00903AB1" w:rsidRDefault="005832BE" w:rsidP="005832BE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903AB1">
        <w:rPr>
          <w:rFonts w:ascii="Arial" w:hAnsi="Arial" w:cs="Arial"/>
          <w:bCs/>
          <w:color w:val="auto"/>
          <w:sz w:val="24"/>
          <w:szCs w:val="24"/>
          <w:u w:val="single"/>
        </w:rPr>
        <w:t>Track</w:t>
      </w:r>
      <w:r w:rsidR="0014650F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 and Intensity</w:t>
      </w:r>
      <w:r w:rsidRPr="00903AB1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: </w:t>
      </w:r>
    </w:p>
    <w:p w14:paraId="52BA6C97" w14:textId="301C01A8" w:rsidR="00F76F48" w:rsidRDefault="00613B21" w:rsidP="00F76F4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STS</w:t>
      </w:r>
      <w:r w:rsidR="00F76F48" w:rsidRPr="00F76F48">
        <w:rPr>
          <w:rFonts w:ascii="Arial" w:hAnsi="Arial" w:cs="Arial"/>
          <w:bCs/>
          <w:color w:val="auto"/>
          <w:sz w:val="24"/>
          <w:szCs w:val="24"/>
        </w:rPr>
        <w:t xml:space="preserve"> “RAI” is forecast to move west northwestward while gradually intensifying and enter the</w:t>
      </w:r>
      <w:r w:rsidR="00F76F4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76F48" w:rsidRPr="00F76F48">
        <w:rPr>
          <w:rFonts w:ascii="Arial" w:hAnsi="Arial" w:cs="Arial"/>
          <w:bCs/>
          <w:color w:val="auto"/>
          <w:sz w:val="24"/>
          <w:szCs w:val="24"/>
        </w:rPr>
        <w:t>Philippine Area of Responsibility (PAR) as a severe tropical storm this afternoon or evening.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004A4A41" w14:textId="77777777" w:rsidR="00F76F48" w:rsidRDefault="00F76F48" w:rsidP="00F76F4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76F48">
        <w:rPr>
          <w:rFonts w:ascii="Arial" w:hAnsi="Arial" w:cs="Arial"/>
          <w:bCs/>
          <w:color w:val="auto"/>
          <w:sz w:val="24"/>
          <w:szCs w:val="24"/>
        </w:rPr>
        <w:t>Once inside PAR, the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F76F48">
        <w:rPr>
          <w:rFonts w:ascii="Arial" w:hAnsi="Arial" w:cs="Arial"/>
          <w:bCs/>
          <w:color w:val="auto"/>
          <w:sz w:val="24"/>
          <w:szCs w:val="24"/>
        </w:rPr>
        <w:t xml:space="preserve">domestic name “ODETTE” will be assigned to this tropical cyclone. </w:t>
      </w:r>
    </w:p>
    <w:p w14:paraId="0763C37F" w14:textId="0342B02A" w:rsidR="005832BE" w:rsidRPr="00F76F48" w:rsidRDefault="00613B21" w:rsidP="00F76F4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STS </w:t>
      </w:r>
      <w:r w:rsidR="00F76F48" w:rsidRPr="00F76F48">
        <w:rPr>
          <w:rFonts w:ascii="Arial" w:hAnsi="Arial" w:cs="Arial"/>
          <w:bCs/>
          <w:color w:val="auto"/>
          <w:sz w:val="24"/>
          <w:szCs w:val="24"/>
        </w:rPr>
        <w:t>“RAI” will begin moving westward over the</w:t>
      </w:r>
      <w:r w:rsidR="00F76F4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76F48" w:rsidRPr="00F76F48">
        <w:rPr>
          <w:rFonts w:ascii="Arial" w:hAnsi="Arial" w:cs="Arial"/>
          <w:bCs/>
          <w:color w:val="auto"/>
          <w:sz w:val="24"/>
          <w:szCs w:val="24"/>
        </w:rPr>
        <w:t>Philippine Sea on Wednesday afternoon and may make landfall in the vicinity of C</w:t>
      </w:r>
      <w:r w:rsidR="00F76F48">
        <w:rPr>
          <w:rFonts w:ascii="Arial" w:hAnsi="Arial" w:cs="Arial"/>
          <w:bCs/>
          <w:color w:val="auto"/>
          <w:sz w:val="24"/>
          <w:szCs w:val="24"/>
        </w:rPr>
        <w:t xml:space="preserve">ARAGA </w:t>
      </w:r>
      <w:r w:rsidR="00F76F48" w:rsidRPr="00F76F48">
        <w:rPr>
          <w:rFonts w:ascii="Arial" w:hAnsi="Arial" w:cs="Arial"/>
          <w:bCs/>
          <w:color w:val="auto"/>
          <w:sz w:val="24"/>
          <w:szCs w:val="24"/>
        </w:rPr>
        <w:t xml:space="preserve">or Eastern </w:t>
      </w:r>
      <w:proofErr w:type="spellStart"/>
      <w:r w:rsidR="00F76F48" w:rsidRPr="00F76F48">
        <w:rPr>
          <w:rFonts w:ascii="Arial" w:hAnsi="Arial" w:cs="Arial"/>
          <w:bCs/>
          <w:color w:val="auto"/>
          <w:sz w:val="24"/>
          <w:szCs w:val="24"/>
        </w:rPr>
        <w:t>Visayas</w:t>
      </w:r>
      <w:proofErr w:type="spellEnd"/>
      <w:r w:rsidR="00F76F48" w:rsidRPr="00F76F48">
        <w:rPr>
          <w:rFonts w:ascii="Arial" w:hAnsi="Arial" w:cs="Arial"/>
          <w:bCs/>
          <w:color w:val="auto"/>
          <w:sz w:val="24"/>
          <w:szCs w:val="24"/>
        </w:rPr>
        <w:t xml:space="preserve"> by</w:t>
      </w:r>
      <w:r w:rsidR="00F76F4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76F48" w:rsidRPr="00F76F48">
        <w:rPr>
          <w:rFonts w:ascii="Arial" w:hAnsi="Arial" w:cs="Arial"/>
          <w:bCs/>
          <w:color w:val="auto"/>
          <w:sz w:val="24"/>
          <w:szCs w:val="24"/>
        </w:rPr>
        <w:t>Thursday (16 December) afternoon or evening. While inside the PAR, favorable atmospheric conditions will favor</w:t>
      </w:r>
      <w:r w:rsidR="00F76F4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76F48" w:rsidRPr="00F76F48">
        <w:rPr>
          <w:rFonts w:ascii="Arial" w:hAnsi="Arial" w:cs="Arial"/>
          <w:bCs/>
          <w:color w:val="auto"/>
          <w:sz w:val="24"/>
          <w:szCs w:val="24"/>
        </w:rPr>
        <w:t>sustained intensification prior to landfall. This tropical cyclone is forecast to reach typhoon category on Wednesday.</w:t>
      </w:r>
      <w:r w:rsidR="00F76F4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76F48" w:rsidRPr="00F76F48">
        <w:rPr>
          <w:rFonts w:ascii="Arial" w:hAnsi="Arial" w:cs="Arial"/>
          <w:bCs/>
          <w:color w:val="auto"/>
          <w:sz w:val="24"/>
          <w:szCs w:val="24"/>
        </w:rPr>
        <w:t>A pre-landfall peak intensity of around 155 km/h may be reached by Thursday morning or afternoon.</w:t>
      </w:r>
    </w:p>
    <w:p w14:paraId="3A4F6073" w14:textId="77777777" w:rsidR="005832BE" w:rsidRPr="005832BE" w:rsidRDefault="005832BE" w:rsidP="005832BE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  <w:u w:val="single"/>
        </w:rPr>
      </w:pPr>
    </w:p>
    <w:p w14:paraId="74475E9F" w14:textId="3B2AC2EA" w:rsidR="00A61A13" w:rsidRPr="00903AB1" w:rsidRDefault="0014650F" w:rsidP="00903AB1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Cs/>
          <w:color w:val="auto"/>
          <w:sz w:val="24"/>
          <w:szCs w:val="24"/>
          <w:u w:val="single"/>
        </w:rPr>
        <w:t>Strong</w:t>
      </w:r>
      <w:r w:rsidR="00A61A13" w:rsidRPr="00903AB1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 Winds: </w:t>
      </w:r>
    </w:p>
    <w:p w14:paraId="3C0B643B" w14:textId="39EEC770" w:rsidR="00903AB1" w:rsidRDefault="00F76F48" w:rsidP="00F76F48">
      <w:pPr>
        <w:pStyle w:val="ListParagraph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76F48">
        <w:rPr>
          <w:rFonts w:ascii="Arial" w:hAnsi="Arial" w:cs="Arial"/>
          <w:bCs/>
          <w:color w:val="auto"/>
          <w:sz w:val="24"/>
          <w:szCs w:val="24"/>
        </w:rPr>
        <w:t xml:space="preserve">There is a high likelihood that Tropical Cyclone Wind Signals will be hoisted for </w:t>
      </w:r>
      <w:proofErr w:type="spellStart"/>
      <w:r w:rsidRPr="00F76F48">
        <w:rPr>
          <w:rFonts w:ascii="Arial" w:hAnsi="Arial" w:cs="Arial"/>
          <w:bCs/>
          <w:color w:val="auto"/>
          <w:sz w:val="24"/>
          <w:szCs w:val="24"/>
        </w:rPr>
        <w:t>Visayas</w:t>
      </w:r>
      <w:proofErr w:type="spellEnd"/>
      <w:r w:rsidRPr="00F76F48">
        <w:rPr>
          <w:rFonts w:ascii="Arial" w:hAnsi="Arial" w:cs="Arial"/>
          <w:bCs/>
          <w:color w:val="auto"/>
          <w:sz w:val="24"/>
          <w:szCs w:val="24"/>
        </w:rPr>
        <w:t>, large portions of Mindanao,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F76F48">
        <w:rPr>
          <w:rFonts w:ascii="Arial" w:hAnsi="Arial" w:cs="Arial"/>
          <w:bCs/>
          <w:color w:val="auto"/>
          <w:sz w:val="24"/>
          <w:szCs w:val="24"/>
        </w:rPr>
        <w:t>and several provinces in Southern Luzon due to the threat of strong to typhoon-force winds associated with the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F76F48">
        <w:rPr>
          <w:rFonts w:ascii="Arial" w:hAnsi="Arial" w:cs="Arial"/>
          <w:bCs/>
          <w:color w:val="auto"/>
          <w:sz w:val="24"/>
          <w:szCs w:val="24"/>
        </w:rPr>
        <w:t xml:space="preserve">passage of </w:t>
      </w:r>
      <w:r w:rsidR="00613B21">
        <w:rPr>
          <w:rFonts w:ascii="Arial" w:hAnsi="Arial" w:cs="Arial"/>
          <w:bCs/>
          <w:color w:val="auto"/>
          <w:sz w:val="24"/>
          <w:szCs w:val="24"/>
        </w:rPr>
        <w:t xml:space="preserve">STS </w:t>
      </w:r>
      <w:r w:rsidRPr="00F76F48">
        <w:rPr>
          <w:rFonts w:ascii="Arial" w:hAnsi="Arial" w:cs="Arial"/>
          <w:bCs/>
          <w:color w:val="auto"/>
          <w:sz w:val="24"/>
          <w:szCs w:val="24"/>
        </w:rPr>
        <w:t>“RAI”. The highest possible wind signal that may be hoisted is TCWS #3. Localities situated in the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F76F48">
        <w:rPr>
          <w:rFonts w:ascii="Arial" w:hAnsi="Arial" w:cs="Arial"/>
          <w:bCs/>
          <w:color w:val="auto"/>
          <w:sz w:val="24"/>
          <w:szCs w:val="24"/>
        </w:rPr>
        <w:t xml:space="preserve">eastern portions of </w:t>
      </w:r>
      <w:proofErr w:type="spellStart"/>
      <w:r w:rsidRPr="00F76F48">
        <w:rPr>
          <w:rFonts w:ascii="Arial" w:hAnsi="Arial" w:cs="Arial"/>
          <w:bCs/>
          <w:color w:val="auto"/>
          <w:sz w:val="24"/>
          <w:szCs w:val="24"/>
        </w:rPr>
        <w:t>Visayas</w:t>
      </w:r>
      <w:proofErr w:type="spellEnd"/>
      <w:r w:rsidRPr="00F76F48">
        <w:rPr>
          <w:rFonts w:ascii="Arial" w:hAnsi="Arial" w:cs="Arial"/>
          <w:bCs/>
          <w:color w:val="auto"/>
          <w:sz w:val="24"/>
          <w:szCs w:val="24"/>
        </w:rPr>
        <w:t xml:space="preserve"> and Mindanao may be placed under TCWS #1 as early as this afternoon or evening.</w:t>
      </w:r>
    </w:p>
    <w:p w14:paraId="16FB10DC" w14:textId="77777777" w:rsidR="00F76F48" w:rsidRPr="00F76F48" w:rsidRDefault="00F76F48" w:rsidP="00F76F4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03B1A0DA" w14:textId="25233DB4" w:rsidR="00A61A13" w:rsidRPr="00903AB1" w:rsidRDefault="00A61A13" w:rsidP="00903AB1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903AB1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Rainfall: </w:t>
      </w:r>
    </w:p>
    <w:p w14:paraId="1DAB94B9" w14:textId="1782ACB0" w:rsidR="00F76F48" w:rsidRPr="00F76F48" w:rsidRDefault="00F76F48" w:rsidP="00F76F48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76F48">
        <w:rPr>
          <w:rFonts w:ascii="Arial" w:hAnsi="Arial" w:cs="Arial"/>
          <w:bCs/>
          <w:color w:val="auto"/>
          <w:sz w:val="24"/>
          <w:szCs w:val="24"/>
        </w:rPr>
        <w:t xml:space="preserve">In the next 24 hours, the trough of </w:t>
      </w:r>
      <w:r w:rsidR="00613B21">
        <w:rPr>
          <w:rFonts w:ascii="Arial" w:hAnsi="Arial" w:cs="Arial"/>
          <w:bCs/>
          <w:color w:val="auto"/>
          <w:sz w:val="24"/>
          <w:szCs w:val="24"/>
        </w:rPr>
        <w:t>STS</w:t>
      </w:r>
      <w:r w:rsidRPr="00F76F48">
        <w:rPr>
          <w:rFonts w:ascii="Arial" w:hAnsi="Arial" w:cs="Arial"/>
          <w:bCs/>
          <w:color w:val="auto"/>
          <w:sz w:val="24"/>
          <w:szCs w:val="24"/>
        </w:rPr>
        <w:t xml:space="preserve"> “RAI” will bring light to moderate with at times heavy rains over C</w:t>
      </w:r>
      <w:r>
        <w:rPr>
          <w:rFonts w:ascii="Arial" w:hAnsi="Arial" w:cs="Arial"/>
          <w:bCs/>
          <w:color w:val="auto"/>
          <w:sz w:val="24"/>
          <w:szCs w:val="24"/>
        </w:rPr>
        <w:t>ARAGA</w:t>
      </w:r>
      <w:r w:rsidRPr="00F76F48">
        <w:rPr>
          <w:rFonts w:ascii="Arial" w:hAnsi="Arial" w:cs="Arial"/>
          <w:bCs/>
          <w:color w:val="auto"/>
          <w:sz w:val="24"/>
          <w:szCs w:val="24"/>
        </w:rPr>
        <w:t xml:space="preserve"> and Davao Oriental. The passage of this tropical cyclone over the central portion of the archipelago may bring heavy to torrential rainfall over </w:t>
      </w:r>
      <w:proofErr w:type="spellStart"/>
      <w:r w:rsidRPr="00F76F48">
        <w:rPr>
          <w:rFonts w:ascii="Arial" w:hAnsi="Arial" w:cs="Arial"/>
          <w:bCs/>
          <w:color w:val="auto"/>
          <w:sz w:val="24"/>
          <w:szCs w:val="24"/>
        </w:rPr>
        <w:t>Visayas</w:t>
      </w:r>
      <w:proofErr w:type="spellEnd"/>
      <w:r w:rsidRPr="00F76F48">
        <w:rPr>
          <w:rFonts w:ascii="Arial" w:hAnsi="Arial" w:cs="Arial"/>
          <w:bCs/>
          <w:color w:val="auto"/>
          <w:sz w:val="24"/>
          <w:szCs w:val="24"/>
        </w:rPr>
        <w:t>, Mindanao, and several provinces in Southern Luzon, which may bring possible flooding and rain-induced landslides. Coastal inundation due to high waves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F76F48">
        <w:rPr>
          <w:rFonts w:ascii="Arial" w:hAnsi="Arial" w:cs="Arial"/>
          <w:bCs/>
          <w:color w:val="auto"/>
          <w:sz w:val="24"/>
          <w:szCs w:val="24"/>
        </w:rPr>
        <w:t>near the coast and storm surge are also possible for low-lying localities near and along the path of the typhoon.</w:t>
      </w:r>
    </w:p>
    <w:p w14:paraId="2D6286F7" w14:textId="3E510B38" w:rsidR="0014650F" w:rsidRPr="0014650F" w:rsidRDefault="00613B21" w:rsidP="00613B21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613B21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The center of the </w:t>
      </w:r>
      <w:r>
        <w:rPr>
          <w:rFonts w:ascii="Arial" w:hAnsi="Arial" w:cs="Arial"/>
          <w:bCs/>
          <w:color w:val="auto"/>
          <w:sz w:val="24"/>
          <w:szCs w:val="24"/>
        </w:rPr>
        <w:t>STS</w:t>
      </w:r>
      <w:r w:rsidRPr="00613B21">
        <w:rPr>
          <w:rFonts w:ascii="Arial" w:hAnsi="Arial" w:cs="Arial"/>
          <w:bCs/>
          <w:color w:val="auto"/>
          <w:sz w:val="24"/>
          <w:szCs w:val="24"/>
        </w:rPr>
        <w:t xml:space="preserve"> “RAI” wa</w:t>
      </w:r>
      <w:r>
        <w:rPr>
          <w:rFonts w:ascii="Arial" w:hAnsi="Arial" w:cs="Arial"/>
          <w:bCs/>
          <w:color w:val="auto"/>
          <w:sz w:val="24"/>
          <w:szCs w:val="24"/>
        </w:rPr>
        <w:t xml:space="preserve">s </w:t>
      </w:r>
      <w:r w:rsidRPr="00613B21">
        <w:rPr>
          <w:rFonts w:ascii="Arial" w:hAnsi="Arial" w:cs="Arial"/>
          <w:bCs/>
          <w:color w:val="auto"/>
          <w:sz w:val="24"/>
          <w:szCs w:val="24"/>
        </w:rPr>
        <w:t>estimated based on all available data at 1,165 km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613B21">
        <w:rPr>
          <w:rFonts w:ascii="Arial" w:hAnsi="Arial" w:cs="Arial"/>
          <w:bCs/>
          <w:color w:val="auto"/>
          <w:sz w:val="24"/>
          <w:szCs w:val="24"/>
        </w:rPr>
        <w:t>East of Mindanao (7.3°N, 136.4°E) (outside the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PAR) with m</w:t>
      </w:r>
      <w:r w:rsidRPr="00613B21">
        <w:rPr>
          <w:rFonts w:ascii="Arial" w:hAnsi="Arial" w:cs="Arial"/>
          <w:bCs/>
          <w:color w:val="auto"/>
          <w:sz w:val="24"/>
          <w:szCs w:val="24"/>
        </w:rPr>
        <w:t>aximum sustained winds of 95 km/h near the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613B21">
        <w:rPr>
          <w:rFonts w:ascii="Arial" w:hAnsi="Arial" w:cs="Arial"/>
          <w:bCs/>
          <w:color w:val="auto"/>
          <w:sz w:val="24"/>
          <w:szCs w:val="24"/>
        </w:rPr>
        <w:t>center, gustiness up to 115 km/h, and central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pressure of 990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hPa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48E21F01" w14:textId="39C9BBAA" w:rsidR="00F42708" w:rsidRPr="008C7588" w:rsidRDefault="00944BA6" w:rsidP="008C7588">
      <w:pPr>
        <w:pStyle w:val="ListParagraph"/>
        <w:spacing w:after="0" w:line="240" w:lineRule="auto"/>
        <w:ind w:left="27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8C7588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8C7588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8C7588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8C7588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8C7588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8C7588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8C7588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60DEC756" w14:textId="79E866A6" w:rsidR="008C7588" w:rsidRDefault="008C7588" w:rsidP="0038550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CEAF12" w14:textId="77777777" w:rsidR="0038550A" w:rsidRDefault="001E0FC9" w:rsidP="0038550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Predictive Analytics for Humanitarian Response</w:t>
      </w:r>
    </w:p>
    <w:p w14:paraId="3111CF69" w14:textId="77777777" w:rsidR="0038550A" w:rsidRPr="0038550A" w:rsidRDefault="0038550A" w:rsidP="0038550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4B87128" w14:textId="583AE0C4" w:rsidR="0038550A" w:rsidRDefault="001E0FC9" w:rsidP="002E5BB2">
      <w:pPr>
        <w:pStyle w:val="NormalWeb"/>
        <w:spacing w:beforeAutospacing="0" w:afterAutospacing="0" w:line="240" w:lineRule="auto"/>
        <w:ind w:left="567" w:hanging="141"/>
        <w:contextualSpacing/>
        <w:jc w:val="both"/>
        <w:rPr>
          <w:rFonts w:ascii="Arial" w:eastAsia="Arial" w:hAnsi="Arial" w:cs="Arial"/>
          <w:b/>
          <w:color w:val="002060"/>
        </w:rPr>
      </w:pPr>
      <w:r w:rsidRPr="00FE441A">
        <w:rPr>
          <w:noProof/>
          <w:lang w:val="en-PH" w:eastAsia="en-PH"/>
        </w:rPr>
        <w:drawing>
          <wp:inline distT="0" distB="0" distL="0" distR="0" wp14:anchorId="61903193" wp14:editId="16BA76DF">
            <wp:extent cx="6007260" cy="3379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260" cy="33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DAB9F" w14:textId="77777777" w:rsidR="00AA33F0" w:rsidRDefault="00AA33F0" w:rsidP="0038550A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b/>
          <w:color w:val="002060"/>
        </w:rPr>
      </w:pPr>
    </w:p>
    <w:p w14:paraId="26E35B37" w14:textId="526FBF63" w:rsidR="0038550A" w:rsidRPr="00FE441A" w:rsidRDefault="0038550A" w:rsidP="002E5BB2">
      <w:pPr>
        <w:pStyle w:val="NormalWeb"/>
        <w:spacing w:beforeAutospacing="0" w:afterAutospacing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</w:rPr>
      </w:pPr>
      <w:r w:rsidRPr="00FE441A">
        <w:rPr>
          <w:rFonts w:ascii="Arial" w:eastAsia="Arial" w:hAnsi="Arial" w:cs="Arial"/>
          <w:b/>
          <w:noProof/>
          <w:color w:val="002060"/>
          <w:lang w:val="en-PH" w:eastAsia="en-PH"/>
        </w:rPr>
        <w:drawing>
          <wp:inline distT="0" distB="0" distL="0" distR="0" wp14:anchorId="71464CE9" wp14:editId="59BE06FC">
            <wp:extent cx="6010933" cy="33811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33" cy="338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C18CA" w14:textId="77777777" w:rsidR="00D4695E" w:rsidRDefault="00D4695E" w:rsidP="0038550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E67A0EA" w14:textId="77BE8B96" w:rsidR="00D4695E" w:rsidRDefault="00DC1070" w:rsidP="00DC1070">
      <w:pPr>
        <w:spacing w:after="0" w:line="240" w:lineRule="auto"/>
        <w:ind w:firstLine="426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E441A">
        <w:rPr>
          <w:rFonts w:ascii="Arial" w:eastAsia="Arial" w:hAnsi="Arial" w:cs="Arial"/>
          <w:b/>
          <w:noProof/>
          <w:color w:val="002060"/>
        </w:rPr>
        <w:lastRenderedPageBreak/>
        <w:drawing>
          <wp:inline distT="0" distB="0" distL="0" distR="0" wp14:anchorId="5487E716" wp14:editId="0E37A496">
            <wp:extent cx="6010933" cy="33811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33" cy="338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63FDE5C3" w14:textId="56249D53" w:rsidR="00DC1070" w:rsidRDefault="00DC1070" w:rsidP="0038550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5B4565D" w14:textId="77777777" w:rsidR="00DC1070" w:rsidRDefault="00DC1070" w:rsidP="0038550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8F1B239" w14:textId="06275800" w:rsidR="0038550A" w:rsidRDefault="0038550A" w:rsidP="0038550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6A03C33" w14:textId="77777777" w:rsidR="0038550A" w:rsidRDefault="0038550A" w:rsidP="0038550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B4F0301" w14:textId="34247B07" w:rsidR="0038550A" w:rsidRPr="00EA789E" w:rsidRDefault="0038550A" w:rsidP="0038550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8F341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D4695E" w:rsidRPr="00D4695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930,129,310.44</w:t>
      </w:r>
      <w:r w:rsidR="00B7503B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01333674" w14:textId="77777777" w:rsidR="0038550A" w:rsidRPr="00EA789E" w:rsidRDefault="0038550A" w:rsidP="0038550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24BCA1A3" w14:textId="77777777" w:rsidR="0038550A" w:rsidRPr="00EA789E" w:rsidRDefault="0038550A" w:rsidP="0038550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A789E">
        <w:rPr>
          <w:rFonts w:ascii="Arial" w:eastAsia="Arial" w:hAnsi="Arial" w:cs="Arial"/>
          <w:b/>
          <w:sz w:val="24"/>
          <w:szCs w:val="24"/>
        </w:rPr>
        <w:t>Standby Funds</w:t>
      </w:r>
    </w:p>
    <w:p w14:paraId="7391A51B" w14:textId="673EAF77" w:rsidR="0038550A" w:rsidRPr="00EA789E" w:rsidRDefault="0038550A" w:rsidP="0038550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1C182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D4695E" w:rsidRPr="00D4695E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83,085,333.77</w:t>
      </w:r>
      <w:r w:rsidR="00B7503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1C1821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standby funds</w:t>
      </w:r>
      <w:r w:rsidRPr="001C182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amount, </w:t>
      </w:r>
      <w:r w:rsidRPr="00D4695E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₱</w:t>
      </w:r>
      <w:r w:rsidR="00D4695E" w:rsidRPr="00D4695E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19,678,617.37</w:t>
      </w:r>
      <w:r w:rsidR="002644E4" w:rsidRPr="00D4695E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 xml:space="preserve"> </w:t>
      </w: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D4695E">
        <w:rPr>
          <w:rFonts w:ascii="Arial" w:eastAsia="Times New Roman" w:hAnsi="Arial" w:cs="Arial"/>
          <w:b/>
          <w:color w:val="auto"/>
          <w:sz w:val="24"/>
          <w:szCs w:val="24"/>
          <w:lang w:val="en-US" w:eastAsia="en-US"/>
        </w:rPr>
        <w:t>Quick Response Fund (QRF)</w:t>
      </w:r>
      <w:r w:rsidRPr="00D4695E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 </w:t>
      </w:r>
      <w:r w:rsidRPr="00EA789E">
        <w:rPr>
          <w:rFonts w:ascii="Arial" w:eastAsia="Times New Roman" w:hAnsi="Arial" w:cs="Arial"/>
          <w:sz w:val="24"/>
          <w:szCs w:val="24"/>
          <w:lang w:val="en-US" w:eastAsia="en-US"/>
        </w:rPr>
        <w:t>in the CO.</w:t>
      </w:r>
    </w:p>
    <w:p w14:paraId="3577FFAC" w14:textId="77777777" w:rsidR="0038550A" w:rsidRPr="00EA789E" w:rsidRDefault="0038550A" w:rsidP="0038550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3AA0EF68" w14:textId="77777777" w:rsidR="0038550A" w:rsidRDefault="0038550A" w:rsidP="0038550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A789E">
        <w:rPr>
          <w:rFonts w:ascii="Arial" w:eastAsia="Arial" w:hAnsi="Arial" w:cs="Arial"/>
          <w:b/>
          <w:sz w:val="24"/>
          <w:szCs w:val="24"/>
        </w:rPr>
        <w:t>Stockpiles</w:t>
      </w:r>
    </w:p>
    <w:p w14:paraId="0263D672" w14:textId="6219B078" w:rsidR="0038550A" w:rsidRDefault="0038550A" w:rsidP="00385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D4695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357,651</w:t>
      </w:r>
      <w:r w:rsidR="002644E4" w:rsidRPr="002644E4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38550A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D4695E" w:rsidRPr="00D4695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217,418,190.98</w:t>
      </w:r>
      <w:r w:rsidRPr="00B7503B">
        <w:rPr>
          <w:rFonts w:ascii="Arial" w:eastAsia="Times New Roman" w:hAnsi="Arial" w:cs="Arial"/>
          <w:bCs/>
          <w:color w:val="auto"/>
          <w:sz w:val="24"/>
          <w:szCs w:val="24"/>
          <w:lang w:eastAsia="en-US"/>
        </w:rPr>
        <w:t>,</w:t>
      </w:r>
      <w:r w:rsidRPr="00B7503B">
        <w:rPr>
          <w:rFonts w:ascii="Arial" w:eastAsia="Times New Roman" w:hAnsi="Arial" w:cs="Arial"/>
          <w:color w:val="auto"/>
          <w:sz w:val="24"/>
          <w:szCs w:val="24"/>
          <w:lang w:val="en-US" w:eastAsia="en-US"/>
        </w:rPr>
        <w:t xml:space="preserve">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38550A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D4695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207,594,231.39 </w:t>
      </w: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38550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D4695E" w:rsidRPr="00D4695E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422,031,554.30 </w:t>
      </w:r>
      <w:r w:rsidRPr="0038550A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75C81F6B" w14:textId="77777777" w:rsidR="0038550A" w:rsidRPr="0038550A" w:rsidRDefault="0038550A" w:rsidP="00385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1DAB7A" w14:textId="021BDFC2" w:rsidR="00972E2D" w:rsidRPr="0038550A" w:rsidRDefault="00972E2D" w:rsidP="0038550A">
      <w:pPr>
        <w:spacing w:after="0" w:line="240" w:lineRule="auto"/>
        <w:ind w:right="57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38550A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91255D" w:rsidRPr="0038550A">
        <w:rPr>
          <w:rFonts w:ascii="Arial" w:eastAsia="Arial" w:hAnsi="Arial" w:cs="Arial"/>
          <w:b/>
          <w:i/>
          <w:sz w:val="20"/>
          <w:szCs w:val="24"/>
        </w:rPr>
        <w:t>1</w:t>
      </w:r>
      <w:r w:rsidRPr="0038550A">
        <w:rPr>
          <w:rFonts w:ascii="Arial" w:eastAsia="Arial" w:hAnsi="Arial" w:cs="Arial"/>
          <w:b/>
          <w:i/>
          <w:sz w:val="20"/>
          <w:szCs w:val="24"/>
        </w:rPr>
        <w:t>. Available Stockpiles and Standby Funds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8"/>
        <w:gridCol w:w="1418"/>
        <w:gridCol w:w="1105"/>
        <w:gridCol w:w="1418"/>
        <w:gridCol w:w="1418"/>
        <w:gridCol w:w="1418"/>
        <w:gridCol w:w="1552"/>
      </w:tblGrid>
      <w:tr w:rsidR="00972E2D" w:rsidRPr="0038550A" w14:paraId="40DF8A35" w14:textId="77777777" w:rsidTr="00D4695E">
        <w:trPr>
          <w:trHeight w:val="20"/>
          <w:tblHeader/>
        </w:trPr>
        <w:tc>
          <w:tcPr>
            <w:tcW w:w="7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534854A4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REGIONAL / FIELD OFFICE</w:t>
            </w:r>
          </w:p>
        </w:tc>
        <w:tc>
          <w:tcPr>
            <w:tcW w:w="7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18E3F205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2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7BC86681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52116803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00D00C64" w14:textId="30F4ECF4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7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48780EE0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972E2D" w:rsidRPr="0038550A" w14:paraId="36BDD0BB" w14:textId="77777777" w:rsidTr="00D4695E">
        <w:trPr>
          <w:trHeight w:val="20"/>
          <w:tblHeader/>
        </w:trPr>
        <w:tc>
          <w:tcPr>
            <w:tcW w:w="7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5E899" w14:textId="77777777" w:rsidR="00972E2D" w:rsidRPr="0038550A" w:rsidRDefault="00972E2D" w:rsidP="0038550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90B26" w14:textId="77777777" w:rsidR="00972E2D" w:rsidRPr="0038550A" w:rsidRDefault="00972E2D" w:rsidP="0038550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3FAD9B47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022AD0FB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3F9FED06" w14:textId="77777777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  <w:hideMark/>
          </w:tcPr>
          <w:p w14:paraId="7554CFBA" w14:textId="2D326A9C" w:rsidR="00972E2D" w:rsidRPr="0038550A" w:rsidRDefault="00972E2D" w:rsidP="0038550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20D87" w14:textId="77777777" w:rsidR="00972E2D" w:rsidRPr="0038550A" w:rsidRDefault="00972E2D" w:rsidP="0038550A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D4695E" w:rsidRPr="0038550A" w14:paraId="13C85C15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2AFD63DC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55ECC52A" w14:textId="641DCD96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83,085,333.77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7754B8B7" w14:textId="44B5C116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357,651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083F4A3B" w14:textId="74865065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217,418,190.98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7F0F75BF" w14:textId="78378A1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207,594,231.39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0F25290F" w14:textId="3A68706D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422,031,554.30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  <w:hideMark/>
          </w:tcPr>
          <w:p w14:paraId="1FA4E3EA" w14:textId="4E36D652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930,129,310.44 </w:t>
            </w:r>
          </w:p>
        </w:tc>
      </w:tr>
      <w:tr w:rsidR="00D4695E" w:rsidRPr="0038550A" w14:paraId="691F4776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13D77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Central Office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FBBAC" w14:textId="3BE9A1A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19,678,617.37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F8D3A" w14:textId="3E719EC0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9B871" w14:textId="7055B36F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5C71B" w14:textId="5BC9C6C2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41A8C" w14:textId="769CB415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B2820" w14:textId="7497D4FC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19,678,617.37 </w:t>
            </w:r>
          </w:p>
        </w:tc>
      </w:tr>
      <w:tr w:rsidR="00D4695E" w:rsidRPr="0038550A" w14:paraId="164D401D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57306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NRLMB - NROC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AA25F" w14:textId="5514D92F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3CD49" w14:textId="0058FAB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70,207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73AE5" w14:textId="695FDA9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50,878,035.00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B20B5" w14:textId="63EA5CD9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32,398,838.37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29E77" w14:textId="565E194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40,390,942.67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6057D" w14:textId="0ADB24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123,667,816.04 </w:t>
            </w:r>
          </w:p>
        </w:tc>
      </w:tr>
      <w:tr w:rsidR="00D4695E" w:rsidRPr="0038550A" w14:paraId="2521CBFD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158C0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NRLMB - VDRC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68AC7" w14:textId="2AEA0838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6C3A4" w14:textId="070A1465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6,498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C5221" w14:textId="7734D139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3,638,840.00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79707" w14:textId="2B5DAAB8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48,663,503.15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9B59F" w14:textId="7FDCB8E9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2,842,510.00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95295" w14:textId="366D8810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55,144,853.15 </w:t>
            </w:r>
          </w:p>
        </w:tc>
      </w:tr>
      <w:tr w:rsidR="00D4695E" w:rsidRPr="0038550A" w14:paraId="51D60C11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B62AF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588C7" w14:textId="4343B0EB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5,123,035.20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CEC6C" w14:textId="38B01492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19,588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6B291" w14:textId="0CFB5D70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12,291,538.00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D3B85" w14:textId="7D898A2D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10,820,010.00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124CD" w14:textId="70A67B73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12,935,065.67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D8AE3" w14:textId="0EA13D1C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41,169,648.87 </w:t>
            </w:r>
          </w:p>
        </w:tc>
      </w:tr>
      <w:tr w:rsidR="00D4695E" w:rsidRPr="0038550A" w14:paraId="7A9A8B1B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9CDB5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550F2" w14:textId="7BCEE923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4,959,298.68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F5CF6" w14:textId="743C630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10,679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E0563" w14:textId="263112A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7,891,154.80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16D66" w14:textId="5F105A7F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3,831,966.40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EB201" w14:textId="0DEB8A31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14,193,427.69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FA2EF" w14:textId="372E47CC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30,875,847.57 </w:t>
            </w:r>
          </w:p>
        </w:tc>
      </w:tr>
      <w:tr w:rsidR="00D4695E" w:rsidRPr="0038550A" w14:paraId="4D79B5E6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7744F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III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5CAF4" w14:textId="61D9429D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7945B" w14:textId="560528C3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14,708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35D38" w14:textId="6770C53C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8,288,453.04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C1856" w14:textId="29386A7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7,070,544.55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EAA21" w14:textId="43F7CD59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15,842,510.27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19CD0" w14:textId="17A5E56C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34,201,507.86 </w:t>
            </w:r>
          </w:p>
        </w:tc>
      </w:tr>
      <w:tr w:rsidR="00D4695E" w:rsidRPr="0038550A" w14:paraId="0D63EDDB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40654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CALABARZON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3B32F" w14:textId="23E8C5C6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DF6C7" w14:textId="4E57E33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14,754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10EED" w14:textId="47FCBF8D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11,297,514.80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683C0" w14:textId="1E837B7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3,157,768.00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914B9" w14:textId="7133E2D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103,311,874.34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CCAFC" w14:textId="2643279A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122,767,157.14 </w:t>
            </w:r>
          </w:p>
        </w:tc>
      </w:tr>
      <w:tr w:rsidR="00D4695E" w:rsidRPr="0038550A" w14:paraId="3AEADCFF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8A8E6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MIMAROPA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45E30" w14:textId="7E646851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1,114,569.78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E4116" w14:textId="23305B95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27,751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3C72E" w14:textId="6774D748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19,571,415.54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CEF8D" w14:textId="6080941C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9,984,849.00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EC4C5" w14:textId="19F929D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16,904,646.70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F9D85" w14:textId="04DAA6FB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47,575,481.02 </w:t>
            </w:r>
          </w:p>
        </w:tc>
      </w:tr>
      <w:tr w:rsidR="00D4695E" w:rsidRPr="0038550A" w14:paraId="346FE2A3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CE8C5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V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AA801" w14:textId="0B6D80B9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5,000,608.00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C116B" w14:textId="4B9C6D1F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26,260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514A8" w14:textId="3839F2FB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15,337,409.20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64241" w14:textId="745E5E8C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4,015,253.00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88D8F" w14:textId="2D6951A9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25,975,007.15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B6789" w14:textId="7970695B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50,328,277.35 </w:t>
            </w:r>
          </w:p>
        </w:tc>
      </w:tr>
      <w:tr w:rsidR="00D4695E" w:rsidRPr="0038550A" w14:paraId="08F9A806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66866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VI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FDB15" w14:textId="131A0268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5,000,661.42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4A026" w14:textId="596EDD42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19,433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0C4C0" w14:textId="47DF2405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9,946,901.86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89F4A" w14:textId="79E78AF8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3,608,625.60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3B3CC" w14:textId="0C3231AC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14,609,255.29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571C0" w14:textId="60802879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33,165,444.17 </w:t>
            </w:r>
          </w:p>
        </w:tc>
      </w:tr>
      <w:tr w:rsidR="00D4695E" w:rsidRPr="0038550A" w14:paraId="380BF5B9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F966A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VII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A4F1B" w14:textId="4E117E8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752,250.00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9762F" w14:textId="05462D1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31,777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7A577" w14:textId="49C6934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14,650,905.00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3AF81" w14:textId="1210B74F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22,282,247.34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0C993" w14:textId="292704D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15,304,807.82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1BA7C" w14:textId="30F4C9AF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52,990,210.16 </w:t>
            </w:r>
          </w:p>
        </w:tc>
      </w:tr>
      <w:tr w:rsidR="00D4695E" w:rsidRPr="0038550A" w14:paraId="6C301B4F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E8968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VIII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A3466" w14:textId="6289C54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4,215,000.00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8E9D2" w14:textId="725BBE55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20,600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F030B" w14:textId="098FB35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10,433,724.31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48A19" w14:textId="131242EA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9,349,514.82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2B767" w14:textId="44091393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20,530,262.37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2A77C" w14:textId="6D7A3946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44,528,501.50 </w:t>
            </w:r>
          </w:p>
        </w:tc>
      </w:tr>
      <w:tr w:rsidR="00D4695E" w:rsidRPr="0038550A" w14:paraId="550A425E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488AF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IX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C531A" w14:textId="246483E9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CE8C2" w14:textId="16F71870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10,686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A2BED" w14:textId="335250C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5,839,792.14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3E794" w14:textId="7C0539C3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2,312,603.52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819B7" w14:textId="00F5A32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18,438,362.25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F728C" w14:textId="598F743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29,590,757.91 </w:t>
            </w:r>
          </w:p>
        </w:tc>
      </w:tr>
      <w:tr w:rsidR="00D4695E" w:rsidRPr="0038550A" w14:paraId="31663718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1045E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X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13310" w14:textId="4A09CB4D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5,238,559.92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0A708" w14:textId="64014EF5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15,991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4BCEA" w14:textId="05D73663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10,866,355.44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04324" w14:textId="4AAB49FC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26,176,182.83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C5F4C" w14:textId="0CE5F95D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44,631,989.11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0A852" w14:textId="19024C83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86,913,087.30 </w:t>
            </w:r>
          </w:p>
        </w:tc>
      </w:tr>
      <w:tr w:rsidR="00D4695E" w:rsidRPr="0038550A" w14:paraId="6DA0237C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C5D60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XI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6F48F" w14:textId="4FB138AB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0CCC5" w14:textId="6064C79B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15,681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C6B98" w14:textId="61480571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7,448,475.00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891BD" w14:textId="29AB48F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1,291,893.00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BF29B" w14:textId="461C0A70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20,253,045.80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6C9FF" w14:textId="0DE41CE9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33,993,413.80 </w:t>
            </w:r>
          </w:p>
        </w:tc>
      </w:tr>
      <w:tr w:rsidR="00D4695E" w:rsidRPr="0038550A" w14:paraId="7631D27F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E42CF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XII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5D54C" w14:textId="43EDBE09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3,000,969.85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46CC5" w14:textId="25B0A763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12,552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DA932" w14:textId="283030A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7,317,322.95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09EA8" w14:textId="2CD8193D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6,520,217.30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3756A" w14:textId="1972001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24,631,720.03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C29F1" w14:textId="269DECA1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41,470,230.13 </w:t>
            </w:r>
          </w:p>
        </w:tc>
      </w:tr>
      <w:tr w:rsidR="00D4695E" w:rsidRPr="0038550A" w14:paraId="4568DC96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54B12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CARAGA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DD1F8" w14:textId="6F2125B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5,000,813.43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D0E9B" w14:textId="70D8F9D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11,272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61F5C" w14:textId="3D80157D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5,512,175.00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DD81A" w14:textId="2B5A146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4,681,110.88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82274" w14:textId="43CCF7B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10,061,013.90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EA126" w14:textId="4CB1DE1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25,255,113.21 </w:t>
            </w:r>
          </w:p>
        </w:tc>
      </w:tr>
      <w:tr w:rsidR="00D4695E" w:rsidRPr="0038550A" w14:paraId="3B619B12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33FA8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NCR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DEFB7" w14:textId="75033B90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3,000,000.00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2179A" w14:textId="5F36B6E8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1,034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01370" w14:textId="7F04CD55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645,993.60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674C6" w14:textId="7EDD7210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6,195,059.30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A958B" w14:textId="61926706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1,199,759.96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79F28" w14:textId="06E8B53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11,040,812.86 </w:t>
            </w:r>
          </w:p>
        </w:tc>
      </w:tr>
      <w:tr w:rsidR="00D4695E" w:rsidRPr="0038550A" w14:paraId="45190BFB" w14:textId="77777777" w:rsidTr="00D4695E">
        <w:trPr>
          <w:trHeight w:val="20"/>
        </w:trPr>
        <w:tc>
          <w:tcPr>
            <w:tcW w:w="718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6DDB4" w14:textId="77777777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550A">
              <w:rPr>
                <w:rFonts w:ascii="Arial Narrow" w:eastAsia="Times New Roman" w:hAnsi="Arial Narrow" w:cs="Arial"/>
                <w:sz w:val="18"/>
                <w:szCs w:val="18"/>
              </w:rPr>
              <w:t>CAR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405E7" w14:textId="4372157B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5,000,950.12 </w:t>
            </w:r>
          </w:p>
        </w:tc>
        <w:tc>
          <w:tcPr>
            <w:tcW w:w="56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33BA5" w14:textId="74C599E4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28,180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402C8" w14:textId="30B8C698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15,562,185.30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B8455" w14:textId="21C9D66E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5,234,044.33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063E8" w14:textId="029DE005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19,975,353.28 </w:t>
            </w:r>
          </w:p>
        </w:tc>
        <w:tc>
          <w:tcPr>
            <w:tcW w:w="79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58982" w14:textId="2C58BF4A" w:rsidR="00D4695E" w:rsidRPr="0038550A" w:rsidRDefault="00D4695E" w:rsidP="00D4695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45,772,533.03 </w:t>
            </w:r>
          </w:p>
        </w:tc>
      </w:tr>
    </w:tbl>
    <w:p w14:paraId="6CED6829" w14:textId="3BDE72F6" w:rsidR="00972E2D" w:rsidRPr="0038550A" w:rsidRDefault="00972E2D" w:rsidP="00D4695E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38550A">
        <w:rPr>
          <w:rFonts w:ascii="Arial" w:eastAsia="Arial" w:hAnsi="Arial" w:cs="Arial"/>
          <w:i/>
          <w:sz w:val="16"/>
          <w:szCs w:val="24"/>
        </w:rPr>
        <w:t xml:space="preserve">Note: The Inventory Summary is as of </w:t>
      </w:r>
      <w:r w:rsidR="00920F79">
        <w:rPr>
          <w:rFonts w:ascii="Arial" w:eastAsia="Arial" w:hAnsi="Arial" w:cs="Arial"/>
          <w:i/>
          <w:sz w:val="16"/>
          <w:szCs w:val="24"/>
        </w:rPr>
        <w:t>1</w:t>
      </w:r>
      <w:r w:rsidR="00D4695E">
        <w:rPr>
          <w:rFonts w:ascii="Arial" w:eastAsia="Arial" w:hAnsi="Arial" w:cs="Arial"/>
          <w:i/>
          <w:sz w:val="16"/>
          <w:szCs w:val="24"/>
        </w:rPr>
        <w:t>4</w:t>
      </w:r>
      <w:r w:rsidR="00920F79">
        <w:rPr>
          <w:rFonts w:ascii="Arial" w:eastAsia="Arial" w:hAnsi="Arial" w:cs="Arial"/>
          <w:i/>
          <w:sz w:val="16"/>
          <w:szCs w:val="24"/>
        </w:rPr>
        <w:t xml:space="preserve"> December </w:t>
      </w:r>
      <w:r w:rsidRPr="0038550A">
        <w:rPr>
          <w:rFonts w:ascii="Arial" w:eastAsia="Arial" w:hAnsi="Arial" w:cs="Arial"/>
          <w:i/>
          <w:sz w:val="16"/>
          <w:szCs w:val="24"/>
        </w:rPr>
        <w:t>2021, 4PM.</w:t>
      </w:r>
      <w:r w:rsidR="002644E4">
        <w:rPr>
          <w:rFonts w:ascii="Arial" w:eastAsia="Arial" w:hAnsi="Arial" w:cs="Arial"/>
          <w:i/>
          <w:sz w:val="16"/>
          <w:szCs w:val="24"/>
        </w:rPr>
        <w:t xml:space="preserve"> </w:t>
      </w:r>
      <w:r w:rsidR="00D4695E" w:rsidRPr="00D4695E">
        <w:rPr>
          <w:rFonts w:ascii="Arial" w:eastAsia="Arial" w:hAnsi="Arial" w:cs="Arial"/>
          <w:i/>
          <w:sz w:val="16"/>
          <w:szCs w:val="24"/>
        </w:rPr>
        <w:t>Replenishment of standby funds for DSWD-FOs VII and MIMAROPA are being</w:t>
      </w:r>
      <w:r w:rsidR="00D4695E">
        <w:rPr>
          <w:rFonts w:ascii="Arial" w:eastAsia="Arial" w:hAnsi="Arial" w:cs="Arial"/>
          <w:i/>
          <w:sz w:val="16"/>
          <w:szCs w:val="24"/>
        </w:rPr>
        <w:t xml:space="preserve"> </w:t>
      </w:r>
      <w:r w:rsidR="00D4695E" w:rsidRPr="00D4695E">
        <w:rPr>
          <w:rFonts w:ascii="Arial" w:eastAsia="Arial" w:hAnsi="Arial" w:cs="Arial"/>
          <w:i/>
          <w:sz w:val="16"/>
          <w:szCs w:val="24"/>
        </w:rPr>
        <w:t>processed.</w:t>
      </w:r>
    </w:p>
    <w:p w14:paraId="6AC1CDC6" w14:textId="41FC48DA" w:rsidR="00972E2D" w:rsidRPr="0038550A" w:rsidRDefault="00972E2D" w:rsidP="0038550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8550A">
        <w:rPr>
          <w:rFonts w:ascii="Arial" w:eastAsia="Arial" w:hAnsi="Arial" w:cs="Arial"/>
          <w:i/>
          <w:color w:val="0070C0"/>
          <w:sz w:val="16"/>
          <w:szCs w:val="24"/>
        </w:rPr>
        <w:t>Source: DRMB and NRLMB</w:t>
      </w:r>
    </w:p>
    <w:p w14:paraId="0683A8FE" w14:textId="1FDA1789" w:rsidR="0091255D" w:rsidRDefault="0091255D" w:rsidP="0038550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CC59666" w14:textId="1A38E6B7" w:rsidR="0038550A" w:rsidRDefault="0038550A" w:rsidP="0038550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2222E2" w14:textId="77777777" w:rsidR="0038550A" w:rsidRPr="00D46740" w:rsidRDefault="0038550A" w:rsidP="0038550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2FA11F94" w14:textId="77777777" w:rsidR="0038550A" w:rsidRPr="00BE43F9" w:rsidRDefault="0038550A" w:rsidP="0038550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14:paraId="534544AF" w14:textId="77777777" w:rsidR="0038550A" w:rsidRPr="00BE43F9" w:rsidRDefault="0038550A" w:rsidP="0038550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38550A" w:rsidRPr="00D717CF" w14:paraId="5605089C" w14:textId="77777777" w:rsidTr="0038550A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68D833" w14:textId="77777777" w:rsidR="0038550A" w:rsidRPr="00D717CF" w:rsidRDefault="0038550A" w:rsidP="005E2F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AE237" w14:textId="77777777" w:rsidR="0038550A" w:rsidRPr="00D717CF" w:rsidRDefault="0038550A" w:rsidP="005E2F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50A" w:rsidRPr="00D717CF" w14:paraId="73C98DE0" w14:textId="77777777" w:rsidTr="0038550A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81E18" w14:textId="12D6C7C3" w:rsidR="0038550A" w:rsidRPr="00D717CF" w:rsidRDefault="009707D4" w:rsidP="00BE06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BE06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 </w:t>
            </w:r>
            <w:r w:rsidR="0038550A">
              <w:rPr>
                <w:rFonts w:ascii="Arial" w:eastAsia="Arial" w:hAnsi="Arial" w:cs="Arial"/>
                <w:color w:val="0070C0"/>
                <w:sz w:val="20"/>
                <w:szCs w:val="24"/>
              </w:rPr>
              <w:t>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36F47C" w14:textId="1A1E8BD2" w:rsidR="00C43B9E" w:rsidRPr="00080B25" w:rsidRDefault="0038550A" w:rsidP="00C43B9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0B2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Management Bureau (DRMB) is closely coordinating with the concerned </w:t>
            </w:r>
            <w:r w:rsidR="00BC0670">
              <w:rPr>
                <w:rFonts w:ascii="Arial" w:eastAsia="Arial" w:hAnsi="Arial" w:cs="Arial"/>
                <w:color w:val="0070C0"/>
                <w:sz w:val="20"/>
                <w:szCs w:val="20"/>
              </w:rPr>
              <w:t>Field Offices (FOs)</w:t>
            </w:r>
            <w:r w:rsidRPr="00080B2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disaster response updates.</w:t>
            </w:r>
          </w:p>
          <w:p w14:paraId="5EA0D890" w14:textId="60CB16ED" w:rsidR="00080B25" w:rsidRPr="00080B25" w:rsidRDefault="00C43B9E" w:rsidP="00080B2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72" w:hanging="3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0B25">
              <w:rPr>
                <w:rFonts w:ascii="Arial" w:eastAsia="Arial" w:hAnsi="Arial" w:cs="Arial"/>
                <w:color w:val="0070C0"/>
                <w:sz w:val="20"/>
                <w:szCs w:val="20"/>
              </w:rPr>
              <w:t>DRMB participated in the Online Pre-Disaster Risk Assessment</w:t>
            </w:r>
            <w:r w:rsidR="00080B2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(PDRA)</w:t>
            </w:r>
            <w:r w:rsidRPr="00080B2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Meeting on </w:t>
            </w:r>
            <w:r w:rsidR="00080B25" w:rsidRPr="00080B2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STS “RAI” </w:t>
            </w:r>
            <w:r w:rsidR="00080B25">
              <w:rPr>
                <w:rFonts w:ascii="Arial" w:eastAsia="Arial" w:hAnsi="Arial" w:cs="Arial"/>
                <w:color w:val="0070C0"/>
                <w:sz w:val="20"/>
                <w:szCs w:val="20"/>
              </w:rPr>
              <w:t>on 14</w:t>
            </w:r>
            <w:r w:rsidRPr="00080B2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December 2021 with other response cluster member agencies. Further meetings shall be conducted on the implementation of COVID-19 protocols during the response efforts on </w:t>
            </w:r>
            <w:r w:rsidR="00080B25" w:rsidRPr="00080B25">
              <w:rPr>
                <w:rFonts w:ascii="Arial" w:eastAsia="Arial" w:hAnsi="Arial" w:cs="Arial"/>
                <w:color w:val="0070C0"/>
                <w:sz w:val="20"/>
                <w:szCs w:val="20"/>
              </w:rPr>
              <w:t>STS “RAI”</w:t>
            </w:r>
            <w:r w:rsidR="00080B25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074EC433" w14:textId="0C610043" w:rsidR="009707D4" w:rsidRPr="00C43B9E" w:rsidRDefault="00080B25" w:rsidP="00080B2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0B25">
              <w:rPr>
                <w:rFonts w:ascii="Arial" w:hAnsi="Arial" w:cs="Arial"/>
                <w:color w:val="0070C0"/>
                <w:sz w:val="20"/>
                <w:szCs w:val="20"/>
              </w:rPr>
              <w:t xml:space="preserve">All </w:t>
            </w:r>
            <w:r w:rsidR="00151759">
              <w:rPr>
                <w:rFonts w:ascii="Arial" w:hAnsi="Arial" w:cs="Arial"/>
                <w:color w:val="0070C0"/>
                <w:sz w:val="20"/>
                <w:szCs w:val="20"/>
              </w:rPr>
              <w:t xml:space="preserve">DRMB </w:t>
            </w:r>
            <w:r w:rsidRPr="00080B2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Quick Response Team (QRT) </w:t>
            </w:r>
            <w:r w:rsidRPr="00080B25">
              <w:rPr>
                <w:rFonts w:ascii="Arial" w:hAnsi="Arial" w:cs="Arial"/>
                <w:color w:val="0070C0"/>
                <w:sz w:val="20"/>
                <w:szCs w:val="20"/>
              </w:rPr>
              <w:t>members and emergency equipment are on standby and ready for deployment.</w:t>
            </w:r>
          </w:p>
        </w:tc>
      </w:tr>
    </w:tbl>
    <w:p w14:paraId="13F7BF58" w14:textId="09403138" w:rsidR="0038550A" w:rsidRDefault="0038550A" w:rsidP="0038550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EACF839" w14:textId="7125211A" w:rsidR="0039148B" w:rsidRDefault="0039148B" w:rsidP="0038550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73D516" w14:textId="77777777" w:rsidR="0039148B" w:rsidRPr="00FE441A" w:rsidRDefault="0039148B" w:rsidP="0038550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D075658" w14:textId="0E6471F4" w:rsidR="008817D4" w:rsidRPr="00FE441A" w:rsidRDefault="008817D4" w:rsidP="0038550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441A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43B9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38550A" w:rsidRPr="00D717CF" w14:paraId="1454BD33" w14:textId="77777777" w:rsidTr="005E2F44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B1472" w14:textId="77777777" w:rsidR="0038550A" w:rsidRPr="00D717CF" w:rsidRDefault="0038550A" w:rsidP="005E2F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C41CA" w14:textId="77777777" w:rsidR="0038550A" w:rsidRPr="00D717CF" w:rsidRDefault="0038550A" w:rsidP="005E2F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50A" w:rsidRPr="009707D4" w14:paraId="68BC8359" w14:textId="77777777" w:rsidTr="005E2F44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B06B3" w14:textId="6DBA78E3" w:rsidR="0038550A" w:rsidRPr="009707D4" w:rsidRDefault="002B3E09" w:rsidP="002B3E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13 December</w:t>
            </w:r>
            <w:r w:rsidR="0038550A"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85687" w14:textId="2C5435F8" w:rsidR="00C43B9E" w:rsidRPr="009707D4" w:rsidRDefault="0038550A" w:rsidP="002B3E0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2B3E09"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V is continuously monitoring weather updates.</w:t>
            </w:r>
          </w:p>
          <w:p w14:paraId="64B6D171" w14:textId="124B0D1B" w:rsidR="00813743" w:rsidRPr="009707D4" w:rsidRDefault="002B3E09" w:rsidP="0081374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 QRT</w:t>
            </w:r>
            <w:r w:rsid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members are on standby alert and are ready for mobilization for any assistance and augmentation </w:t>
            </w:r>
            <w:r w:rsidR="00813743"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support needed from the LGUs.</w:t>
            </w:r>
          </w:p>
          <w:p w14:paraId="2BC5B175" w14:textId="54E02F1A" w:rsidR="00FE5382" w:rsidRPr="009707D4" w:rsidRDefault="00FE5382" w:rsidP="00FE538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ensures the availability of </w:t>
            </w:r>
            <w:r w:rsid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>Family Food P</w:t>
            </w: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acks</w:t>
            </w:r>
            <w:r w:rsid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(FFPs)</w:t>
            </w: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other</w:t>
            </w:r>
            <w:r w:rsid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Food and Non-food I</w:t>
            </w: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tems</w:t>
            </w:r>
            <w:r w:rsid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(FNIs).</w:t>
            </w:r>
          </w:p>
          <w:p w14:paraId="006CCB36" w14:textId="36EAAD9F" w:rsidR="00FE5382" w:rsidRPr="009707D4" w:rsidRDefault="00FE5382" w:rsidP="00FE538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 is closely coordinating with the P/MDRRMOs for status reports and updates.</w:t>
            </w:r>
          </w:p>
        </w:tc>
      </w:tr>
    </w:tbl>
    <w:p w14:paraId="754CC3FA" w14:textId="1944EAB8" w:rsidR="008817D4" w:rsidRDefault="008817D4" w:rsidP="0038550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A364FEC" w14:textId="4696BEBB" w:rsidR="0039148B" w:rsidRPr="00FE441A" w:rsidRDefault="0039148B" w:rsidP="003914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441A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39148B" w:rsidRPr="00D717CF" w14:paraId="3DBFA326" w14:textId="77777777" w:rsidTr="00C74EB6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4C868" w14:textId="77777777" w:rsidR="0039148B" w:rsidRPr="00D717CF" w:rsidRDefault="0039148B" w:rsidP="00C74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9160C" w14:textId="77777777" w:rsidR="0039148B" w:rsidRPr="00D717CF" w:rsidRDefault="0039148B" w:rsidP="00C74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9148B" w:rsidRPr="009707D4" w14:paraId="239C4F45" w14:textId="77777777" w:rsidTr="00C74EB6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2CC02" w14:textId="117FDF7F" w:rsidR="0039148B" w:rsidRPr="0039148B" w:rsidRDefault="0039148B" w:rsidP="00C74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9148B">
              <w:rPr>
                <w:rFonts w:ascii="Arial" w:eastAsia="Arial" w:hAnsi="Arial" w:cs="Arial"/>
                <w:color w:val="0070C0"/>
                <w:sz w:val="20"/>
                <w:szCs w:val="24"/>
              </w:rPr>
              <w:t>14 December 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0B6A5" w14:textId="3B4A44D8" w:rsidR="00BC0670" w:rsidRPr="00BC0670" w:rsidRDefault="00BC0670" w:rsidP="00BC067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C0670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 is continuously monitoring weather updates.</w:t>
            </w:r>
          </w:p>
          <w:p w14:paraId="699BD91E" w14:textId="72AA6527" w:rsidR="00BC0670" w:rsidRPr="00BC0670" w:rsidRDefault="00BC0670" w:rsidP="00BC067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C0670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 QRT members are on standby alert and are ready for mobilization for any assistance and augmentation support needed from the LGUs.</w:t>
            </w:r>
          </w:p>
          <w:p w14:paraId="4AB52D6B" w14:textId="7549D319" w:rsidR="0039148B" w:rsidRPr="00BC0670" w:rsidRDefault="00BC0670" w:rsidP="00BC067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C0670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 ensures the availability of FFPs and other FNIs.</w:t>
            </w:r>
          </w:p>
        </w:tc>
      </w:tr>
    </w:tbl>
    <w:p w14:paraId="03ED62D9" w14:textId="77777777" w:rsidR="0039148B" w:rsidRPr="009707D4" w:rsidRDefault="0039148B" w:rsidP="0038550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06DBAB4" w14:textId="734FD8E1" w:rsidR="00C43B9E" w:rsidRPr="009707D4" w:rsidRDefault="00C43B9E" w:rsidP="0038550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C04DA64" w14:textId="77777777" w:rsidR="00C43B9E" w:rsidRPr="009707D4" w:rsidRDefault="00C43B9E" w:rsidP="00C43B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707D4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9707D4" w:rsidRPr="009707D4" w14:paraId="633D0F22" w14:textId="77777777" w:rsidTr="009D19DE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B26AA" w14:textId="77777777" w:rsidR="00C43B9E" w:rsidRPr="009707D4" w:rsidRDefault="00C43B9E" w:rsidP="009D1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716A9" w14:textId="77777777" w:rsidR="00C43B9E" w:rsidRPr="009707D4" w:rsidRDefault="00C43B9E" w:rsidP="009D1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9707D4" w:rsidRPr="009707D4" w14:paraId="39B909A3" w14:textId="77777777" w:rsidTr="009D19DE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A7EF7" w14:textId="38F9CDD3" w:rsidR="00C43B9E" w:rsidRPr="009707D4" w:rsidRDefault="002B3E09" w:rsidP="009D19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13 December 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3C4A0E" w14:textId="64CF3D20" w:rsidR="00BC0670" w:rsidRPr="00BC0670" w:rsidRDefault="00BC0670" w:rsidP="00BC067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</w:t>
            </w:r>
            <w:r w:rsidR="00151759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>I is continuously monitoring weather updates.</w:t>
            </w:r>
          </w:p>
          <w:p w14:paraId="33F1DEBE" w14:textId="24E4FBB0" w:rsidR="00BC0670" w:rsidRPr="00BC0670" w:rsidRDefault="00BC0670" w:rsidP="00BC067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</w:t>
            </w:r>
            <w:r w:rsidR="00151759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>I QRT members are on standby alert and are ready for mobilization for any assistance and augmentation support needed from the LGUs.</w:t>
            </w:r>
          </w:p>
          <w:p w14:paraId="3E2114F4" w14:textId="4BB393F7" w:rsidR="00BC0670" w:rsidRPr="00BC0670" w:rsidRDefault="00BC0670" w:rsidP="00BC067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</w:t>
            </w:r>
            <w:r w:rsidR="00151759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ensures the availability of FFPs and other FNIs.</w:t>
            </w:r>
          </w:p>
          <w:p w14:paraId="705FCC8C" w14:textId="473B044F" w:rsidR="0014650F" w:rsidRPr="009707D4" w:rsidRDefault="0014650F" w:rsidP="00BC067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is closely coordinating with their local counterparts and their respective LDRRMCs. Field staff </w:t>
            </w:r>
            <w:r w:rsidR="00FE5382"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 to monitor AOR and provide reports and updates to the Regional DROMIC Focal for any impacts/effects.</w:t>
            </w:r>
          </w:p>
          <w:p w14:paraId="6F455558" w14:textId="77777777" w:rsidR="00FE5382" w:rsidRPr="009707D4" w:rsidRDefault="00FE5382" w:rsidP="00FE53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  <w:p w14:paraId="318E434F" w14:textId="1F272230" w:rsidR="0014650F" w:rsidRPr="009707D4" w:rsidRDefault="0014650F" w:rsidP="001465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</w:tbl>
    <w:p w14:paraId="3E3A183F" w14:textId="66ABED73" w:rsidR="00C43B9E" w:rsidRDefault="00C43B9E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C699053" w14:textId="07E7B6F0" w:rsidR="00813743" w:rsidRDefault="00813743" w:rsidP="0081374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D28A42" w14:textId="560AF729" w:rsidR="00813743" w:rsidRPr="00FE441A" w:rsidRDefault="00813743" w:rsidP="0081374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441A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813743" w:rsidRPr="00D717CF" w14:paraId="7A58E2FA" w14:textId="77777777" w:rsidTr="001D40AF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ED21A" w14:textId="77777777" w:rsidR="00813743" w:rsidRPr="00D717CF" w:rsidRDefault="00813743" w:rsidP="001D40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F1E44" w14:textId="77777777" w:rsidR="00813743" w:rsidRPr="00D717CF" w:rsidRDefault="00813743" w:rsidP="001D40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13743" w:rsidRPr="00D717CF" w14:paraId="6926C147" w14:textId="77777777" w:rsidTr="001D40A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88D94" w14:textId="53A75A36" w:rsidR="00813743" w:rsidRPr="009707D4" w:rsidRDefault="00813743" w:rsidP="001D40A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10 December 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14782" w14:textId="5603257A" w:rsidR="00151759" w:rsidRPr="00BC0670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>I is continuously monitoring weather updates.</w:t>
            </w:r>
          </w:p>
          <w:p w14:paraId="4B7125C2" w14:textId="39544CFA" w:rsidR="00151759" w:rsidRPr="00BC0670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QRT members are on standby alert and are ready for mobilization for any assistance and augmentation support needed from the LGUs.</w:t>
            </w:r>
          </w:p>
          <w:p w14:paraId="4EC27405" w14:textId="644A03A5" w:rsidR="00151759" w:rsidRPr="00BC0670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Pr="00BC067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ensures the availability of FFPs and other FNIs.</w:t>
            </w:r>
          </w:p>
          <w:p w14:paraId="2775B17D" w14:textId="49C41599" w:rsidR="0014650F" w:rsidRPr="009707D4" w:rsidRDefault="0014650F" w:rsidP="0014650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prepositioned Family Food Packs (FFPs) in Samar Island and </w:t>
            </w:r>
            <w:proofErr w:type="spellStart"/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>Biliran</w:t>
            </w:r>
            <w:proofErr w:type="spellEnd"/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which can be distributed immediately by the P/C/MATs to Local Government Units that need</w:t>
            </w:r>
            <w:r w:rsidR="000626D3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9707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augmentation support.</w:t>
            </w:r>
          </w:p>
        </w:tc>
      </w:tr>
    </w:tbl>
    <w:p w14:paraId="15AEFD99" w14:textId="5425CEE0" w:rsidR="00813743" w:rsidRDefault="00813743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C7617E0" w14:textId="21CF774E" w:rsidR="009707D4" w:rsidRPr="00FE441A" w:rsidRDefault="009707D4" w:rsidP="009707D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441A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626D3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9707D4" w:rsidRPr="00D717CF" w14:paraId="7094D81D" w14:textId="77777777" w:rsidTr="00A07E1A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EDB6B" w14:textId="77777777" w:rsidR="009707D4" w:rsidRPr="00D717CF" w:rsidRDefault="009707D4" w:rsidP="00A07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4790D" w14:textId="77777777" w:rsidR="009707D4" w:rsidRPr="00D717CF" w:rsidRDefault="009707D4" w:rsidP="00A07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707D4" w:rsidRPr="00D717CF" w14:paraId="720288F2" w14:textId="77777777" w:rsidTr="00151759">
        <w:trPr>
          <w:trHeight w:val="649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3BC0F" w14:textId="729AE735" w:rsidR="009707D4" w:rsidRPr="009707D4" w:rsidRDefault="009707D4" w:rsidP="00A07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0070C0"/>
                <w:sz w:val="20"/>
                <w:szCs w:val="24"/>
              </w:rPr>
              <w:t>14 December 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4FFF8" w14:textId="0B8A44A0" w:rsidR="00151759" w:rsidRPr="00151759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517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 is continuously monitoring weather updates.</w:t>
            </w:r>
          </w:p>
          <w:p w14:paraId="0F2C80F3" w14:textId="2414B79E" w:rsidR="00151759" w:rsidRPr="00151759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517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 QRT members are on standby alert and are ready for mobilization for any assistance and augmentation support needed from the LGUs.</w:t>
            </w:r>
          </w:p>
          <w:p w14:paraId="18A7A21A" w14:textId="15420C84" w:rsidR="009707D4" w:rsidRPr="00151759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517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 ensures the availability of FFPs and other FNIs.</w:t>
            </w:r>
          </w:p>
        </w:tc>
      </w:tr>
    </w:tbl>
    <w:p w14:paraId="67DB4204" w14:textId="23EB2324" w:rsidR="009707D4" w:rsidRDefault="009707D4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84C668E" w14:textId="52619429" w:rsidR="000626D3" w:rsidRPr="00FE441A" w:rsidRDefault="000626D3" w:rsidP="000626D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441A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0626D3" w:rsidRPr="00D717CF" w14:paraId="52E077A2" w14:textId="77777777" w:rsidTr="00C74EB6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074B3A" w14:textId="77777777" w:rsidR="000626D3" w:rsidRPr="00D717CF" w:rsidRDefault="000626D3" w:rsidP="00C74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DAA72" w14:textId="77777777" w:rsidR="000626D3" w:rsidRPr="00D717CF" w:rsidRDefault="000626D3" w:rsidP="00C74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626D3" w:rsidRPr="00D717CF" w14:paraId="1226BE27" w14:textId="77777777" w:rsidTr="00C74EB6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A5FBE" w14:textId="77777777" w:rsidR="000626D3" w:rsidRPr="009707D4" w:rsidRDefault="000626D3" w:rsidP="00C74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0070C0"/>
                <w:sz w:val="20"/>
                <w:szCs w:val="24"/>
              </w:rPr>
              <w:t>14 December 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BABD1" w14:textId="0C29AA2D" w:rsidR="00151759" w:rsidRPr="00151759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517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is continuously monitoring weather updates.</w:t>
            </w:r>
          </w:p>
          <w:p w14:paraId="515B5507" w14:textId="45463452" w:rsidR="00151759" w:rsidRPr="00151759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517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QRT members are on standby alert and are ready for mobilization for any assistance and augmentation support needed from the LGUs.</w:t>
            </w:r>
          </w:p>
          <w:p w14:paraId="10A48248" w14:textId="0384AD47" w:rsidR="000626D3" w:rsidRPr="00151759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517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ensures the availability of FFPs and other FNIs.</w:t>
            </w:r>
          </w:p>
        </w:tc>
      </w:tr>
    </w:tbl>
    <w:p w14:paraId="0EAFD973" w14:textId="27E9FB30" w:rsidR="000626D3" w:rsidRDefault="000626D3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5621D9" w14:textId="77777777" w:rsidR="000626D3" w:rsidRDefault="000626D3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683A7E3" w14:textId="003567C9" w:rsidR="000626D3" w:rsidRPr="00FE441A" w:rsidRDefault="000626D3" w:rsidP="000626D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E441A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0626D3" w:rsidRPr="00D717CF" w14:paraId="0C46A354" w14:textId="77777777" w:rsidTr="00C74EB6">
        <w:trPr>
          <w:trHeight w:val="20"/>
          <w:tblHeader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C5515" w14:textId="77777777" w:rsidR="000626D3" w:rsidRPr="00D717CF" w:rsidRDefault="000626D3" w:rsidP="00C74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8C126" w14:textId="77777777" w:rsidR="000626D3" w:rsidRPr="00D717CF" w:rsidRDefault="000626D3" w:rsidP="00C74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626D3" w:rsidRPr="00D717CF" w14:paraId="0F68B368" w14:textId="77777777" w:rsidTr="00C74EB6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47CCC" w14:textId="77777777" w:rsidR="000626D3" w:rsidRPr="009707D4" w:rsidRDefault="000626D3" w:rsidP="00C74E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707D4">
              <w:rPr>
                <w:rFonts w:ascii="Arial" w:eastAsia="Arial" w:hAnsi="Arial" w:cs="Arial"/>
                <w:color w:val="0070C0"/>
                <w:sz w:val="20"/>
                <w:szCs w:val="24"/>
              </w:rPr>
              <w:t>14 December 2021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14119" w14:textId="126DFF7A" w:rsidR="00151759" w:rsidRPr="00151759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517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CARAGA is continuously monitoring weather updates.</w:t>
            </w:r>
          </w:p>
          <w:p w14:paraId="3C5B219E" w14:textId="731EF746" w:rsidR="00151759" w:rsidRPr="00151759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517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CARAGA QRT members are on standby alert and are ready for mobilization for any assistance and augmentation support needed from the LGUs.</w:t>
            </w:r>
          </w:p>
          <w:p w14:paraId="0F257375" w14:textId="46595650" w:rsidR="00151759" w:rsidRPr="00151759" w:rsidRDefault="00151759" w:rsidP="001517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517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CARAGA ensures the availability of FFPs and other FNIs.</w:t>
            </w:r>
          </w:p>
          <w:p w14:paraId="1C62A535" w14:textId="5CCEF548" w:rsidR="000626D3" w:rsidRPr="009707D4" w:rsidRDefault="000626D3" w:rsidP="000626D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517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CARAGA is continuously coordinating with SWADTLs and LSWDOs to monitor the situation in their respective areas.</w:t>
            </w:r>
          </w:p>
        </w:tc>
      </w:tr>
    </w:tbl>
    <w:p w14:paraId="4DC95FD6" w14:textId="7B2B139C" w:rsidR="000626D3" w:rsidRPr="00FE441A" w:rsidRDefault="000626D3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1C2C5C" w14:textId="77777777" w:rsidR="00411916" w:rsidRPr="0038550A" w:rsidRDefault="00411916" w:rsidP="0038550A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4"/>
        </w:rPr>
      </w:pPr>
      <w:r w:rsidRPr="0038550A">
        <w:rPr>
          <w:rFonts w:ascii="Arial" w:eastAsia="Arial" w:hAnsi="Arial" w:cs="Arial"/>
          <w:b/>
          <w:i/>
          <w:sz w:val="20"/>
          <w:szCs w:val="24"/>
        </w:rPr>
        <w:t>*****</w:t>
      </w:r>
    </w:p>
    <w:p w14:paraId="4CDEA10F" w14:textId="6B5939BC" w:rsidR="00155355" w:rsidRPr="0038550A" w:rsidRDefault="003D09A9" w:rsidP="0038550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8550A">
        <w:rPr>
          <w:rFonts w:ascii="Arial" w:eastAsia="Arial" w:hAnsi="Arial" w:cs="Arial"/>
          <w:i/>
          <w:sz w:val="20"/>
          <w:szCs w:val="24"/>
        </w:rPr>
        <w:t>The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and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of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the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="00125678" w:rsidRPr="0038550A">
        <w:rPr>
          <w:rFonts w:ascii="Arial" w:eastAsia="Arial" w:hAnsi="Arial" w:cs="Arial"/>
          <w:i/>
          <w:sz w:val="20"/>
          <w:szCs w:val="24"/>
        </w:rPr>
        <w:t xml:space="preserve">is </w:t>
      </w:r>
      <w:r w:rsidRPr="0038550A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="00FF20EA" w:rsidRPr="0038550A">
        <w:rPr>
          <w:rFonts w:ascii="Arial" w:eastAsia="Arial" w:hAnsi="Arial" w:cs="Arial"/>
          <w:i/>
          <w:sz w:val="20"/>
          <w:szCs w:val="24"/>
        </w:rPr>
        <w:t>mo</w:t>
      </w:r>
      <w:r w:rsidR="00B14C94" w:rsidRPr="0038550A">
        <w:rPr>
          <w:rFonts w:ascii="Arial" w:eastAsia="Arial" w:hAnsi="Arial" w:cs="Arial"/>
          <w:i/>
          <w:sz w:val="20"/>
          <w:szCs w:val="24"/>
        </w:rPr>
        <w:t xml:space="preserve">nitoring the effects </w:t>
      </w:r>
      <w:r w:rsidR="005205EC" w:rsidRPr="0038550A">
        <w:rPr>
          <w:rFonts w:ascii="Arial" w:eastAsia="Arial" w:hAnsi="Arial" w:cs="Arial"/>
          <w:i/>
          <w:sz w:val="20"/>
          <w:szCs w:val="24"/>
        </w:rPr>
        <w:t xml:space="preserve">of </w:t>
      </w:r>
      <w:r w:rsidR="005205EC">
        <w:rPr>
          <w:rFonts w:ascii="Arial" w:eastAsia="Arial" w:hAnsi="Arial" w:cs="Arial"/>
          <w:i/>
          <w:sz w:val="20"/>
          <w:szCs w:val="24"/>
        </w:rPr>
        <w:t>STS</w:t>
      </w:r>
      <w:r w:rsidR="005205EC" w:rsidRPr="005205EC">
        <w:rPr>
          <w:rFonts w:ascii="Arial" w:eastAsia="Arial" w:hAnsi="Arial" w:cs="Arial"/>
          <w:i/>
          <w:sz w:val="20"/>
          <w:szCs w:val="24"/>
        </w:rPr>
        <w:t xml:space="preserve"> “RAI”</w:t>
      </w:r>
      <w:r w:rsidR="002B3E09">
        <w:rPr>
          <w:rFonts w:ascii="Arial" w:eastAsia="Arial" w:hAnsi="Arial" w:cs="Arial"/>
          <w:i/>
          <w:sz w:val="20"/>
          <w:szCs w:val="24"/>
        </w:rPr>
        <w:t xml:space="preserve"> </w:t>
      </w:r>
      <w:r w:rsidR="00FF20EA" w:rsidRPr="0038550A">
        <w:rPr>
          <w:rFonts w:ascii="Arial" w:eastAsia="Arial" w:hAnsi="Arial" w:cs="Arial"/>
          <w:i/>
          <w:sz w:val="20"/>
          <w:szCs w:val="24"/>
        </w:rPr>
        <w:t xml:space="preserve">and </w:t>
      </w:r>
      <w:r w:rsidR="006513DA" w:rsidRPr="0038550A">
        <w:rPr>
          <w:rFonts w:ascii="Arial" w:eastAsia="Arial" w:hAnsi="Arial" w:cs="Arial"/>
          <w:i/>
          <w:sz w:val="20"/>
          <w:szCs w:val="24"/>
        </w:rPr>
        <w:t xml:space="preserve">is </w:t>
      </w:r>
      <w:r w:rsidR="00125678" w:rsidRPr="0038550A">
        <w:rPr>
          <w:rFonts w:ascii="Arial" w:eastAsia="Arial" w:hAnsi="Arial" w:cs="Arial"/>
          <w:i/>
          <w:sz w:val="20"/>
          <w:szCs w:val="24"/>
        </w:rPr>
        <w:t>coordinating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with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the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="0043209E" w:rsidRPr="0038550A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38550A">
        <w:rPr>
          <w:rFonts w:ascii="Arial" w:eastAsia="Arial" w:hAnsi="Arial" w:cs="Arial"/>
          <w:i/>
          <w:sz w:val="20"/>
          <w:szCs w:val="24"/>
        </w:rPr>
        <w:t>DSWD</w:t>
      </w:r>
      <w:r w:rsidR="00D717CF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38550A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38550A">
        <w:rPr>
          <w:rFonts w:ascii="Arial" w:eastAsia="Arial" w:hAnsi="Arial" w:cs="Arial"/>
          <w:i/>
          <w:sz w:val="20"/>
          <w:szCs w:val="24"/>
        </w:rPr>
        <w:t>for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38550A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38550A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38550A">
        <w:rPr>
          <w:rFonts w:ascii="Arial" w:eastAsia="Arial" w:hAnsi="Arial" w:cs="Arial"/>
          <w:i/>
          <w:sz w:val="20"/>
          <w:szCs w:val="24"/>
        </w:rPr>
        <w:t xml:space="preserve"> </w:t>
      </w:r>
      <w:r w:rsidRPr="0038550A">
        <w:rPr>
          <w:rFonts w:ascii="Arial" w:eastAsia="Arial" w:hAnsi="Arial" w:cs="Arial"/>
          <w:i/>
          <w:sz w:val="20"/>
          <w:szCs w:val="24"/>
        </w:rPr>
        <w:t>updates.</w:t>
      </w:r>
    </w:p>
    <w:p w14:paraId="6CB51519" w14:textId="413F0301" w:rsidR="00373CD6" w:rsidRDefault="00373CD6" w:rsidP="003855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86056F" w:rsidRPr="00882AD2" w14:paraId="30F8FC84" w14:textId="77777777" w:rsidTr="001D40AF">
        <w:tc>
          <w:tcPr>
            <w:tcW w:w="4868" w:type="dxa"/>
          </w:tcPr>
          <w:p w14:paraId="2E2F30B3" w14:textId="77777777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636C1812" w14:textId="77777777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B261F2" w14:textId="77777777" w:rsidR="0086056F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6F76731C" w14:textId="77777777" w:rsidR="0086056F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44E44A99" w14:textId="77319D94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</w:tc>
        <w:tc>
          <w:tcPr>
            <w:tcW w:w="4869" w:type="dxa"/>
          </w:tcPr>
          <w:p w14:paraId="050EA42E" w14:textId="77777777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DBD2EF6" w14:textId="77777777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BF5A52" w14:textId="53457958" w:rsidR="0086056F" w:rsidRPr="00882AD2" w:rsidRDefault="0086056F" w:rsidP="001D40A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DBEE32B" w14:textId="23E3A4C0" w:rsidR="005B74A9" w:rsidRPr="00FE441A" w:rsidRDefault="005B74A9" w:rsidP="003855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5B74A9" w:rsidRPr="00FE441A" w:rsidSect="00FE441A">
      <w:headerReference w:type="default" r:id="rId12"/>
      <w:footerReference w:type="default" r:id="rId13"/>
      <w:pgSz w:w="11907" w:h="16839" w:code="9"/>
      <w:pgMar w:top="720" w:right="1080" w:bottom="432" w:left="108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AA71" w14:textId="77777777" w:rsidR="00630B44" w:rsidRDefault="00630B44">
      <w:pPr>
        <w:spacing w:after="0" w:line="240" w:lineRule="auto"/>
      </w:pPr>
      <w:r>
        <w:separator/>
      </w:r>
    </w:p>
  </w:endnote>
  <w:endnote w:type="continuationSeparator" w:id="0">
    <w:p w14:paraId="165F6804" w14:textId="77777777" w:rsidR="00630B44" w:rsidRDefault="0063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04C6748B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1B18E609" w:rsidR="00192CDE" w:rsidRPr="00AA33F0" w:rsidRDefault="00AA33F0" w:rsidP="00AA33F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sz w:val="16"/>
        <w:szCs w:val="16"/>
      </w:rPr>
    </w:pPr>
    <w:r w:rsidRPr="00AA33F0">
      <w:rPr>
        <w:sz w:val="16"/>
        <w:szCs w:val="16"/>
      </w:rPr>
      <w:t>DSWD DROMIC Prepa</w:t>
    </w:r>
    <w:r w:rsidR="00F76F48">
      <w:rPr>
        <w:sz w:val="16"/>
        <w:szCs w:val="16"/>
      </w:rPr>
      <w:t>redness for Response Report #2</w:t>
    </w:r>
    <w:r>
      <w:rPr>
        <w:sz w:val="16"/>
        <w:szCs w:val="16"/>
      </w:rPr>
      <w:t xml:space="preserve"> </w:t>
    </w:r>
    <w:r w:rsidR="00EE4EC2">
      <w:rPr>
        <w:sz w:val="16"/>
        <w:szCs w:val="16"/>
      </w:rPr>
      <w:t>on</w:t>
    </w:r>
    <w:r w:rsidRPr="00AA33F0">
      <w:rPr>
        <w:sz w:val="16"/>
        <w:szCs w:val="16"/>
      </w:rPr>
      <w:t xml:space="preserve"> Tropical </w:t>
    </w:r>
    <w:r w:rsidR="00EE4EC2">
      <w:rPr>
        <w:sz w:val="16"/>
        <w:szCs w:val="16"/>
      </w:rPr>
      <w:t xml:space="preserve">Depression </w:t>
    </w:r>
    <w:r>
      <w:rPr>
        <w:sz w:val="16"/>
        <w:szCs w:val="16"/>
      </w:rPr>
      <w:t xml:space="preserve">ODETTE </w:t>
    </w:r>
    <w:r w:rsidRPr="00AA33F0">
      <w:rPr>
        <w:sz w:val="16"/>
        <w:szCs w:val="16"/>
      </w:rPr>
      <w:t>as of 1</w:t>
    </w:r>
    <w:r w:rsidR="00F76F48">
      <w:rPr>
        <w:sz w:val="16"/>
        <w:szCs w:val="16"/>
      </w:rPr>
      <w:t>4</w:t>
    </w:r>
    <w:r w:rsidRPr="00AA33F0">
      <w:rPr>
        <w:sz w:val="16"/>
        <w:szCs w:val="16"/>
      </w:rPr>
      <w:t xml:space="preserve"> December 2021, 6PM</w:t>
    </w:r>
    <w:r>
      <w:rPr>
        <w:sz w:val="16"/>
        <w:szCs w:val="16"/>
      </w:rPr>
      <w:t xml:space="preserve"> | </w:t>
    </w:r>
    <w:r w:rsidR="00192CDE">
      <w:rPr>
        <w:sz w:val="16"/>
        <w:szCs w:val="16"/>
      </w:rPr>
      <w:t xml:space="preserve">Page </w:t>
    </w:r>
    <w:r w:rsidR="00192CDE">
      <w:rPr>
        <w:b/>
        <w:sz w:val="16"/>
        <w:szCs w:val="16"/>
      </w:rPr>
      <w:fldChar w:fldCharType="begin"/>
    </w:r>
    <w:r w:rsidR="00192CDE">
      <w:rPr>
        <w:b/>
        <w:sz w:val="16"/>
        <w:szCs w:val="16"/>
      </w:rPr>
      <w:instrText>PAGE</w:instrText>
    </w:r>
    <w:r w:rsidR="00192CDE">
      <w:rPr>
        <w:b/>
        <w:sz w:val="16"/>
        <w:szCs w:val="16"/>
      </w:rPr>
      <w:fldChar w:fldCharType="separate"/>
    </w:r>
    <w:r w:rsidR="00DC1070">
      <w:rPr>
        <w:b/>
        <w:noProof/>
        <w:sz w:val="16"/>
        <w:szCs w:val="16"/>
      </w:rPr>
      <w:t>4</w:t>
    </w:r>
    <w:r w:rsidR="00192CDE">
      <w:rPr>
        <w:b/>
        <w:sz w:val="16"/>
        <w:szCs w:val="16"/>
      </w:rPr>
      <w:fldChar w:fldCharType="end"/>
    </w:r>
    <w:r w:rsidR="00192CDE">
      <w:rPr>
        <w:sz w:val="16"/>
        <w:szCs w:val="16"/>
      </w:rPr>
      <w:t xml:space="preserve"> of </w:t>
    </w:r>
    <w:r w:rsidR="00192CDE">
      <w:rPr>
        <w:b/>
        <w:sz w:val="16"/>
        <w:szCs w:val="16"/>
      </w:rPr>
      <w:fldChar w:fldCharType="begin"/>
    </w:r>
    <w:r w:rsidR="00192CDE">
      <w:rPr>
        <w:b/>
        <w:sz w:val="16"/>
        <w:szCs w:val="16"/>
      </w:rPr>
      <w:instrText>NUMPAGES</w:instrText>
    </w:r>
    <w:r w:rsidR="00192CDE">
      <w:rPr>
        <w:b/>
        <w:sz w:val="16"/>
        <w:szCs w:val="16"/>
      </w:rPr>
      <w:fldChar w:fldCharType="separate"/>
    </w:r>
    <w:r w:rsidR="00DC1070">
      <w:rPr>
        <w:b/>
        <w:noProof/>
        <w:sz w:val="16"/>
        <w:szCs w:val="16"/>
      </w:rPr>
      <w:t>5</w:t>
    </w:r>
    <w:r w:rsidR="00192CD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F8A08" w14:textId="77777777" w:rsidR="00630B44" w:rsidRDefault="00630B44">
      <w:pPr>
        <w:spacing w:after="0" w:line="240" w:lineRule="auto"/>
      </w:pPr>
      <w:r>
        <w:separator/>
      </w:r>
    </w:p>
  </w:footnote>
  <w:footnote w:type="continuationSeparator" w:id="0">
    <w:p w14:paraId="7E9608FF" w14:textId="77777777" w:rsidR="00630B44" w:rsidRDefault="0063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587"/>
    <w:multiLevelType w:val="hybridMultilevel"/>
    <w:tmpl w:val="0206F9FA"/>
    <w:lvl w:ilvl="0" w:tplc="4F8E7B3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45F"/>
    <w:multiLevelType w:val="hybridMultilevel"/>
    <w:tmpl w:val="67E096B8"/>
    <w:lvl w:ilvl="0" w:tplc="F524E92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D52"/>
    <w:multiLevelType w:val="hybridMultilevel"/>
    <w:tmpl w:val="19BA707C"/>
    <w:lvl w:ilvl="0" w:tplc="031CAB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798E"/>
    <w:multiLevelType w:val="hybridMultilevel"/>
    <w:tmpl w:val="8B723824"/>
    <w:lvl w:ilvl="0" w:tplc="7D327C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3FE0"/>
    <w:multiLevelType w:val="hybridMultilevel"/>
    <w:tmpl w:val="645A562C"/>
    <w:lvl w:ilvl="0" w:tplc="2BE2E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3533"/>
    <w:multiLevelType w:val="hybridMultilevel"/>
    <w:tmpl w:val="1AF8088E"/>
    <w:lvl w:ilvl="0" w:tplc="24CABB4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5333"/>
    <w:multiLevelType w:val="hybridMultilevel"/>
    <w:tmpl w:val="85AEDE22"/>
    <w:lvl w:ilvl="0" w:tplc="237CB9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A56"/>
    <w:multiLevelType w:val="hybridMultilevel"/>
    <w:tmpl w:val="6AC0BED2"/>
    <w:lvl w:ilvl="0" w:tplc="7B0019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0911"/>
    <w:multiLevelType w:val="hybridMultilevel"/>
    <w:tmpl w:val="B9C415F0"/>
    <w:lvl w:ilvl="0" w:tplc="F904A17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61D7"/>
    <w:multiLevelType w:val="hybridMultilevel"/>
    <w:tmpl w:val="86C22DCC"/>
    <w:lvl w:ilvl="0" w:tplc="57A81E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2FC1"/>
    <w:multiLevelType w:val="hybridMultilevel"/>
    <w:tmpl w:val="B486FB5E"/>
    <w:lvl w:ilvl="0" w:tplc="F752AD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638BA"/>
    <w:multiLevelType w:val="hybridMultilevel"/>
    <w:tmpl w:val="2474C168"/>
    <w:lvl w:ilvl="0" w:tplc="773EE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DDE"/>
    <w:multiLevelType w:val="hybridMultilevel"/>
    <w:tmpl w:val="01047706"/>
    <w:lvl w:ilvl="0" w:tplc="D304BB0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801BC"/>
    <w:multiLevelType w:val="hybridMultilevel"/>
    <w:tmpl w:val="60B8EC52"/>
    <w:lvl w:ilvl="0" w:tplc="7B6A389E">
      <w:start w:val="2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0B1AA5"/>
    <w:multiLevelType w:val="hybridMultilevel"/>
    <w:tmpl w:val="68FA9B7E"/>
    <w:lvl w:ilvl="0" w:tplc="DF74FDEE">
      <w:start w:val="13"/>
      <w:numFmt w:val="bullet"/>
      <w:lvlText w:val=""/>
      <w:lvlJc w:val="left"/>
      <w:pPr>
        <w:ind w:left="654" w:hanging="360"/>
      </w:pPr>
      <w:rPr>
        <w:rFonts w:ascii="Symbol" w:eastAsia="Arial" w:hAnsi="Symbol" w:cs="Arial" w:hint="default"/>
        <w:color w:val="auto"/>
      </w:rPr>
    </w:lvl>
    <w:lvl w:ilvl="1" w:tplc="DB2CAB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32F78"/>
    <w:multiLevelType w:val="hybridMultilevel"/>
    <w:tmpl w:val="BC488C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51698"/>
    <w:multiLevelType w:val="hybridMultilevel"/>
    <w:tmpl w:val="7C347C04"/>
    <w:lvl w:ilvl="0" w:tplc="5DACF2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6083D"/>
    <w:multiLevelType w:val="hybridMultilevel"/>
    <w:tmpl w:val="F454C6B6"/>
    <w:lvl w:ilvl="0" w:tplc="F1DADF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709D0"/>
    <w:multiLevelType w:val="hybridMultilevel"/>
    <w:tmpl w:val="7ECE0788"/>
    <w:lvl w:ilvl="0" w:tplc="700E28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262CA"/>
    <w:multiLevelType w:val="hybridMultilevel"/>
    <w:tmpl w:val="C55C15DA"/>
    <w:lvl w:ilvl="0" w:tplc="A246CBE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D769F"/>
    <w:multiLevelType w:val="hybridMultilevel"/>
    <w:tmpl w:val="F32A40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7ABB"/>
    <w:multiLevelType w:val="hybridMultilevel"/>
    <w:tmpl w:val="C67C3EF4"/>
    <w:lvl w:ilvl="0" w:tplc="BC045FE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76CA0"/>
    <w:multiLevelType w:val="hybridMultilevel"/>
    <w:tmpl w:val="8424D712"/>
    <w:lvl w:ilvl="0" w:tplc="664A7C0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82C5FDA"/>
    <w:multiLevelType w:val="hybridMultilevel"/>
    <w:tmpl w:val="67DA9F26"/>
    <w:lvl w:ilvl="0" w:tplc="54EC366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A161A"/>
    <w:multiLevelType w:val="hybridMultilevel"/>
    <w:tmpl w:val="B08EA400"/>
    <w:lvl w:ilvl="0" w:tplc="04B27A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11DC7"/>
    <w:multiLevelType w:val="hybridMultilevel"/>
    <w:tmpl w:val="45ECD438"/>
    <w:lvl w:ilvl="0" w:tplc="34090019">
      <w:start w:val="1"/>
      <w:numFmt w:val="lowerLetter"/>
      <w:lvlText w:val="%1."/>
      <w:lvlJc w:val="left"/>
      <w:pPr>
        <w:ind w:left="1996" w:hanging="360"/>
      </w:pPr>
    </w:lvl>
    <w:lvl w:ilvl="1" w:tplc="34090019" w:tentative="1">
      <w:start w:val="1"/>
      <w:numFmt w:val="lowerLetter"/>
      <w:lvlText w:val="%2."/>
      <w:lvlJc w:val="left"/>
      <w:pPr>
        <w:ind w:left="2716" w:hanging="360"/>
      </w:pPr>
    </w:lvl>
    <w:lvl w:ilvl="2" w:tplc="3409001B" w:tentative="1">
      <w:start w:val="1"/>
      <w:numFmt w:val="lowerRoman"/>
      <w:lvlText w:val="%3."/>
      <w:lvlJc w:val="right"/>
      <w:pPr>
        <w:ind w:left="3436" w:hanging="180"/>
      </w:pPr>
    </w:lvl>
    <w:lvl w:ilvl="3" w:tplc="3409000F" w:tentative="1">
      <w:start w:val="1"/>
      <w:numFmt w:val="decimal"/>
      <w:lvlText w:val="%4."/>
      <w:lvlJc w:val="left"/>
      <w:pPr>
        <w:ind w:left="4156" w:hanging="360"/>
      </w:pPr>
    </w:lvl>
    <w:lvl w:ilvl="4" w:tplc="34090019" w:tentative="1">
      <w:start w:val="1"/>
      <w:numFmt w:val="lowerLetter"/>
      <w:lvlText w:val="%5."/>
      <w:lvlJc w:val="left"/>
      <w:pPr>
        <w:ind w:left="4876" w:hanging="360"/>
      </w:pPr>
    </w:lvl>
    <w:lvl w:ilvl="5" w:tplc="3409001B" w:tentative="1">
      <w:start w:val="1"/>
      <w:numFmt w:val="lowerRoman"/>
      <w:lvlText w:val="%6."/>
      <w:lvlJc w:val="right"/>
      <w:pPr>
        <w:ind w:left="5596" w:hanging="180"/>
      </w:pPr>
    </w:lvl>
    <w:lvl w:ilvl="6" w:tplc="3409000F" w:tentative="1">
      <w:start w:val="1"/>
      <w:numFmt w:val="decimal"/>
      <w:lvlText w:val="%7."/>
      <w:lvlJc w:val="left"/>
      <w:pPr>
        <w:ind w:left="6316" w:hanging="360"/>
      </w:pPr>
    </w:lvl>
    <w:lvl w:ilvl="7" w:tplc="34090019" w:tentative="1">
      <w:start w:val="1"/>
      <w:numFmt w:val="lowerLetter"/>
      <w:lvlText w:val="%8."/>
      <w:lvlJc w:val="left"/>
      <w:pPr>
        <w:ind w:left="7036" w:hanging="360"/>
      </w:pPr>
    </w:lvl>
    <w:lvl w:ilvl="8" w:tplc="3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36D5B2E"/>
    <w:multiLevelType w:val="hybridMultilevel"/>
    <w:tmpl w:val="FC24B12E"/>
    <w:lvl w:ilvl="0" w:tplc="3BA20D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F1EC8"/>
    <w:multiLevelType w:val="hybridMultilevel"/>
    <w:tmpl w:val="7474E492"/>
    <w:lvl w:ilvl="0" w:tplc="609CDAE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0B8F"/>
    <w:multiLevelType w:val="hybridMultilevel"/>
    <w:tmpl w:val="2B3E30AC"/>
    <w:lvl w:ilvl="0" w:tplc="43A2F94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D4867"/>
    <w:multiLevelType w:val="hybridMultilevel"/>
    <w:tmpl w:val="5510B7A8"/>
    <w:lvl w:ilvl="0" w:tplc="2CD67B8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10"/>
  </w:num>
  <w:num w:numId="5">
    <w:abstractNumId w:val="30"/>
  </w:num>
  <w:num w:numId="6">
    <w:abstractNumId w:val="0"/>
  </w:num>
  <w:num w:numId="7">
    <w:abstractNumId w:val="9"/>
  </w:num>
  <w:num w:numId="8">
    <w:abstractNumId w:val="19"/>
  </w:num>
  <w:num w:numId="9">
    <w:abstractNumId w:val="6"/>
  </w:num>
  <w:num w:numId="10">
    <w:abstractNumId w:val="23"/>
  </w:num>
  <w:num w:numId="11">
    <w:abstractNumId w:val="16"/>
  </w:num>
  <w:num w:numId="12">
    <w:abstractNumId w:val="14"/>
  </w:num>
  <w:num w:numId="13">
    <w:abstractNumId w:val="20"/>
  </w:num>
  <w:num w:numId="14">
    <w:abstractNumId w:val="7"/>
  </w:num>
  <w:num w:numId="15">
    <w:abstractNumId w:val="31"/>
  </w:num>
  <w:num w:numId="16">
    <w:abstractNumId w:val="5"/>
  </w:num>
  <w:num w:numId="17">
    <w:abstractNumId w:val="32"/>
  </w:num>
  <w:num w:numId="18">
    <w:abstractNumId w:val="2"/>
  </w:num>
  <w:num w:numId="19">
    <w:abstractNumId w:val="28"/>
  </w:num>
  <w:num w:numId="20">
    <w:abstractNumId w:val="11"/>
  </w:num>
  <w:num w:numId="21">
    <w:abstractNumId w:val="27"/>
  </w:num>
  <w:num w:numId="22">
    <w:abstractNumId w:val="13"/>
  </w:num>
  <w:num w:numId="23">
    <w:abstractNumId w:val="33"/>
  </w:num>
  <w:num w:numId="24">
    <w:abstractNumId w:val="24"/>
  </w:num>
  <w:num w:numId="25">
    <w:abstractNumId w:val="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21"/>
  </w:num>
  <w:num w:numId="30">
    <w:abstractNumId w:val="12"/>
  </w:num>
  <w:num w:numId="31">
    <w:abstractNumId w:val="4"/>
  </w:num>
  <w:num w:numId="32">
    <w:abstractNumId w:val="29"/>
  </w:num>
  <w:num w:numId="33">
    <w:abstractNumId w:val="8"/>
  </w:num>
  <w:num w:numId="34">
    <w:abstractNumId w:val="17"/>
  </w:num>
  <w:num w:numId="3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E86"/>
    <w:rsid w:val="00005CB0"/>
    <w:rsid w:val="000103C6"/>
    <w:rsid w:val="000132B4"/>
    <w:rsid w:val="00016CE3"/>
    <w:rsid w:val="00020ECE"/>
    <w:rsid w:val="000234D2"/>
    <w:rsid w:val="00026080"/>
    <w:rsid w:val="000324F4"/>
    <w:rsid w:val="000359C0"/>
    <w:rsid w:val="000362A4"/>
    <w:rsid w:val="000408C0"/>
    <w:rsid w:val="00044A86"/>
    <w:rsid w:val="00051F4A"/>
    <w:rsid w:val="00054288"/>
    <w:rsid w:val="000626D3"/>
    <w:rsid w:val="00063DEC"/>
    <w:rsid w:val="000757CD"/>
    <w:rsid w:val="000762A0"/>
    <w:rsid w:val="0008009D"/>
    <w:rsid w:val="00080B25"/>
    <w:rsid w:val="000812AC"/>
    <w:rsid w:val="0008133B"/>
    <w:rsid w:val="00081BF3"/>
    <w:rsid w:val="00085176"/>
    <w:rsid w:val="00085608"/>
    <w:rsid w:val="000962B5"/>
    <w:rsid w:val="00096653"/>
    <w:rsid w:val="00096FF5"/>
    <w:rsid w:val="00097B1A"/>
    <w:rsid w:val="00097C1F"/>
    <w:rsid w:val="000A1C46"/>
    <w:rsid w:val="000A1CF5"/>
    <w:rsid w:val="000A1FE9"/>
    <w:rsid w:val="000B5875"/>
    <w:rsid w:val="000C196B"/>
    <w:rsid w:val="000C6698"/>
    <w:rsid w:val="000D1A9D"/>
    <w:rsid w:val="000D1F4C"/>
    <w:rsid w:val="000D3D3E"/>
    <w:rsid w:val="000E09D8"/>
    <w:rsid w:val="000E2E93"/>
    <w:rsid w:val="000E381D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7E58"/>
    <w:rsid w:val="001227AA"/>
    <w:rsid w:val="00122989"/>
    <w:rsid w:val="00123FA6"/>
    <w:rsid w:val="00125678"/>
    <w:rsid w:val="00135A3A"/>
    <w:rsid w:val="00136350"/>
    <w:rsid w:val="0014650F"/>
    <w:rsid w:val="00150801"/>
    <w:rsid w:val="00150E80"/>
    <w:rsid w:val="00151759"/>
    <w:rsid w:val="00151EA5"/>
    <w:rsid w:val="00151F51"/>
    <w:rsid w:val="00152CAC"/>
    <w:rsid w:val="00153232"/>
    <w:rsid w:val="00153ED1"/>
    <w:rsid w:val="00155355"/>
    <w:rsid w:val="001606A4"/>
    <w:rsid w:val="001618E9"/>
    <w:rsid w:val="00162223"/>
    <w:rsid w:val="00163E15"/>
    <w:rsid w:val="001647F3"/>
    <w:rsid w:val="00165C3D"/>
    <w:rsid w:val="001671D2"/>
    <w:rsid w:val="00171DE9"/>
    <w:rsid w:val="00172BA8"/>
    <w:rsid w:val="00174E88"/>
    <w:rsid w:val="00177210"/>
    <w:rsid w:val="00180315"/>
    <w:rsid w:val="00182E76"/>
    <w:rsid w:val="001836FA"/>
    <w:rsid w:val="0018499D"/>
    <w:rsid w:val="00187CD6"/>
    <w:rsid w:val="001911FC"/>
    <w:rsid w:val="00192CDE"/>
    <w:rsid w:val="00194BAC"/>
    <w:rsid w:val="00196063"/>
    <w:rsid w:val="00197C40"/>
    <w:rsid w:val="001A24E5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6D1D"/>
    <w:rsid w:val="001E08FA"/>
    <w:rsid w:val="001E09E8"/>
    <w:rsid w:val="001E0FC9"/>
    <w:rsid w:val="001E1043"/>
    <w:rsid w:val="001E26B4"/>
    <w:rsid w:val="001E7A8D"/>
    <w:rsid w:val="001F0789"/>
    <w:rsid w:val="00200137"/>
    <w:rsid w:val="0020030B"/>
    <w:rsid w:val="00202201"/>
    <w:rsid w:val="00202479"/>
    <w:rsid w:val="00203164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0AD4"/>
    <w:rsid w:val="00261033"/>
    <w:rsid w:val="002644E4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599A"/>
    <w:rsid w:val="002A731A"/>
    <w:rsid w:val="002B045E"/>
    <w:rsid w:val="002B2EC9"/>
    <w:rsid w:val="002B3E09"/>
    <w:rsid w:val="002C1E7D"/>
    <w:rsid w:val="002C224F"/>
    <w:rsid w:val="002C47A6"/>
    <w:rsid w:val="002C7253"/>
    <w:rsid w:val="002D0802"/>
    <w:rsid w:val="002D3418"/>
    <w:rsid w:val="002E25AE"/>
    <w:rsid w:val="002E5BB2"/>
    <w:rsid w:val="002F0FA9"/>
    <w:rsid w:val="002F5178"/>
    <w:rsid w:val="002F713F"/>
    <w:rsid w:val="003037EC"/>
    <w:rsid w:val="00304AE8"/>
    <w:rsid w:val="003052AD"/>
    <w:rsid w:val="00305764"/>
    <w:rsid w:val="00314903"/>
    <w:rsid w:val="003152F8"/>
    <w:rsid w:val="00317493"/>
    <w:rsid w:val="00321421"/>
    <w:rsid w:val="003277B9"/>
    <w:rsid w:val="00331650"/>
    <w:rsid w:val="003320AF"/>
    <w:rsid w:val="00341112"/>
    <w:rsid w:val="00342911"/>
    <w:rsid w:val="0034457A"/>
    <w:rsid w:val="00344CEA"/>
    <w:rsid w:val="003478E6"/>
    <w:rsid w:val="00350965"/>
    <w:rsid w:val="00354584"/>
    <w:rsid w:val="00363B7E"/>
    <w:rsid w:val="003648D2"/>
    <w:rsid w:val="00364FB5"/>
    <w:rsid w:val="00366D42"/>
    <w:rsid w:val="003708C3"/>
    <w:rsid w:val="00373CD6"/>
    <w:rsid w:val="00376584"/>
    <w:rsid w:val="00377F27"/>
    <w:rsid w:val="00383309"/>
    <w:rsid w:val="00384E5A"/>
    <w:rsid w:val="0038550A"/>
    <w:rsid w:val="003870A7"/>
    <w:rsid w:val="0038790C"/>
    <w:rsid w:val="00390877"/>
    <w:rsid w:val="00391318"/>
    <w:rsid w:val="0039148B"/>
    <w:rsid w:val="00395C03"/>
    <w:rsid w:val="00397271"/>
    <w:rsid w:val="003A009A"/>
    <w:rsid w:val="003A14AC"/>
    <w:rsid w:val="003A21A0"/>
    <w:rsid w:val="003B1652"/>
    <w:rsid w:val="003B46D8"/>
    <w:rsid w:val="003B524C"/>
    <w:rsid w:val="003B6ADE"/>
    <w:rsid w:val="003C0B5E"/>
    <w:rsid w:val="003C0BF5"/>
    <w:rsid w:val="003C23AA"/>
    <w:rsid w:val="003C707B"/>
    <w:rsid w:val="003C77A1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E642D"/>
    <w:rsid w:val="003F0D46"/>
    <w:rsid w:val="003F6B13"/>
    <w:rsid w:val="003F79ED"/>
    <w:rsid w:val="00402969"/>
    <w:rsid w:val="004033F8"/>
    <w:rsid w:val="0040727F"/>
    <w:rsid w:val="00411916"/>
    <w:rsid w:val="004134A7"/>
    <w:rsid w:val="004230B5"/>
    <w:rsid w:val="00424801"/>
    <w:rsid w:val="00425689"/>
    <w:rsid w:val="0042628C"/>
    <w:rsid w:val="0043209E"/>
    <w:rsid w:val="004334A9"/>
    <w:rsid w:val="0044371B"/>
    <w:rsid w:val="00443CD3"/>
    <w:rsid w:val="004444F8"/>
    <w:rsid w:val="00446AAF"/>
    <w:rsid w:val="00447043"/>
    <w:rsid w:val="0045417C"/>
    <w:rsid w:val="00454E8A"/>
    <w:rsid w:val="00456B0E"/>
    <w:rsid w:val="00460385"/>
    <w:rsid w:val="00460779"/>
    <w:rsid w:val="004620F2"/>
    <w:rsid w:val="0046391D"/>
    <w:rsid w:val="00463E99"/>
    <w:rsid w:val="004658E7"/>
    <w:rsid w:val="00466C0D"/>
    <w:rsid w:val="004801A8"/>
    <w:rsid w:val="004808D9"/>
    <w:rsid w:val="00485FAA"/>
    <w:rsid w:val="004867BA"/>
    <w:rsid w:val="00490703"/>
    <w:rsid w:val="00495369"/>
    <w:rsid w:val="0049658E"/>
    <w:rsid w:val="004A080D"/>
    <w:rsid w:val="004A1497"/>
    <w:rsid w:val="004A195C"/>
    <w:rsid w:val="004A1FA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D1392"/>
    <w:rsid w:val="004D6DAD"/>
    <w:rsid w:val="004E2DCF"/>
    <w:rsid w:val="004F27B7"/>
    <w:rsid w:val="004F68F5"/>
    <w:rsid w:val="005027D0"/>
    <w:rsid w:val="005073A3"/>
    <w:rsid w:val="005101BD"/>
    <w:rsid w:val="005131AF"/>
    <w:rsid w:val="0051518E"/>
    <w:rsid w:val="005156DC"/>
    <w:rsid w:val="00515F7A"/>
    <w:rsid w:val="005205EC"/>
    <w:rsid w:val="0052400F"/>
    <w:rsid w:val="00524A25"/>
    <w:rsid w:val="0053534A"/>
    <w:rsid w:val="00536668"/>
    <w:rsid w:val="00537816"/>
    <w:rsid w:val="00543A35"/>
    <w:rsid w:val="00543D61"/>
    <w:rsid w:val="00544DE0"/>
    <w:rsid w:val="00545CA0"/>
    <w:rsid w:val="00546DEE"/>
    <w:rsid w:val="005500F4"/>
    <w:rsid w:val="00551824"/>
    <w:rsid w:val="00557D52"/>
    <w:rsid w:val="005613EE"/>
    <w:rsid w:val="005627D9"/>
    <w:rsid w:val="0056425D"/>
    <w:rsid w:val="005670D1"/>
    <w:rsid w:val="005675AA"/>
    <w:rsid w:val="0057305A"/>
    <w:rsid w:val="00574617"/>
    <w:rsid w:val="00580432"/>
    <w:rsid w:val="0058176D"/>
    <w:rsid w:val="005832BE"/>
    <w:rsid w:val="00583D8D"/>
    <w:rsid w:val="005871E5"/>
    <w:rsid w:val="0059459E"/>
    <w:rsid w:val="00594DB7"/>
    <w:rsid w:val="005A22A1"/>
    <w:rsid w:val="005A4EFD"/>
    <w:rsid w:val="005B1F88"/>
    <w:rsid w:val="005B2CD7"/>
    <w:rsid w:val="005B386A"/>
    <w:rsid w:val="005B4636"/>
    <w:rsid w:val="005B6E12"/>
    <w:rsid w:val="005B74A9"/>
    <w:rsid w:val="005C25C9"/>
    <w:rsid w:val="005C26A2"/>
    <w:rsid w:val="005C7862"/>
    <w:rsid w:val="005C79B3"/>
    <w:rsid w:val="005D0750"/>
    <w:rsid w:val="005E78C4"/>
    <w:rsid w:val="005F7E3F"/>
    <w:rsid w:val="0060485F"/>
    <w:rsid w:val="0060627A"/>
    <w:rsid w:val="00606AB1"/>
    <w:rsid w:val="00611D34"/>
    <w:rsid w:val="00613B21"/>
    <w:rsid w:val="00617DB8"/>
    <w:rsid w:val="00620E67"/>
    <w:rsid w:val="006217D0"/>
    <w:rsid w:val="00624D62"/>
    <w:rsid w:val="00630B44"/>
    <w:rsid w:val="00632650"/>
    <w:rsid w:val="006348B0"/>
    <w:rsid w:val="00636A32"/>
    <w:rsid w:val="00637CFE"/>
    <w:rsid w:val="00637F5C"/>
    <w:rsid w:val="00646FEA"/>
    <w:rsid w:val="006513DA"/>
    <w:rsid w:val="00654B25"/>
    <w:rsid w:val="006552C0"/>
    <w:rsid w:val="00660954"/>
    <w:rsid w:val="00660E16"/>
    <w:rsid w:val="00661764"/>
    <w:rsid w:val="00661C9B"/>
    <w:rsid w:val="00667EC5"/>
    <w:rsid w:val="00672031"/>
    <w:rsid w:val="00676AC7"/>
    <w:rsid w:val="0067706B"/>
    <w:rsid w:val="006808AA"/>
    <w:rsid w:val="00683774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2102"/>
    <w:rsid w:val="006E23E1"/>
    <w:rsid w:val="006E6AC7"/>
    <w:rsid w:val="00701F97"/>
    <w:rsid w:val="007029A9"/>
    <w:rsid w:val="00703E20"/>
    <w:rsid w:val="007150A8"/>
    <w:rsid w:val="0072145F"/>
    <w:rsid w:val="00724F05"/>
    <w:rsid w:val="00725D9A"/>
    <w:rsid w:val="0072780E"/>
    <w:rsid w:val="00731BC2"/>
    <w:rsid w:val="007412EE"/>
    <w:rsid w:val="00742851"/>
    <w:rsid w:val="00744EA5"/>
    <w:rsid w:val="0074516B"/>
    <w:rsid w:val="00752F0C"/>
    <w:rsid w:val="007567CA"/>
    <w:rsid w:val="007650E4"/>
    <w:rsid w:val="00765540"/>
    <w:rsid w:val="00765610"/>
    <w:rsid w:val="00765C75"/>
    <w:rsid w:val="0077257F"/>
    <w:rsid w:val="00773A7E"/>
    <w:rsid w:val="00774B9D"/>
    <w:rsid w:val="00775377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6311"/>
    <w:rsid w:val="007C69A0"/>
    <w:rsid w:val="007D613E"/>
    <w:rsid w:val="007D64BD"/>
    <w:rsid w:val="007D707B"/>
    <w:rsid w:val="007D7DBE"/>
    <w:rsid w:val="007E1C9D"/>
    <w:rsid w:val="007E1ED0"/>
    <w:rsid w:val="007F2FAD"/>
    <w:rsid w:val="007F56C8"/>
    <w:rsid w:val="00802BDE"/>
    <w:rsid w:val="008034FC"/>
    <w:rsid w:val="00803E68"/>
    <w:rsid w:val="0080446A"/>
    <w:rsid w:val="00810116"/>
    <w:rsid w:val="00810D26"/>
    <w:rsid w:val="00813743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35F91"/>
    <w:rsid w:val="0084002E"/>
    <w:rsid w:val="0084027D"/>
    <w:rsid w:val="008423D5"/>
    <w:rsid w:val="00843A49"/>
    <w:rsid w:val="00854CB5"/>
    <w:rsid w:val="0086056F"/>
    <w:rsid w:val="00861293"/>
    <w:rsid w:val="008626A4"/>
    <w:rsid w:val="00863692"/>
    <w:rsid w:val="00870757"/>
    <w:rsid w:val="00872B5E"/>
    <w:rsid w:val="008748D8"/>
    <w:rsid w:val="00876F3E"/>
    <w:rsid w:val="008774FE"/>
    <w:rsid w:val="0087788A"/>
    <w:rsid w:val="008817D4"/>
    <w:rsid w:val="00885E31"/>
    <w:rsid w:val="0089011E"/>
    <w:rsid w:val="00890A8C"/>
    <w:rsid w:val="00891832"/>
    <w:rsid w:val="008B427D"/>
    <w:rsid w:val="008B7D09"/>
    <w:rsid w:val="008C4874"/>
    <w:rsid w:val="008C5231"/>
    <w:rsid w:val="008C5268"/>
    <w:rsid w:val="008C5880"/>
    <w:rsid w:val="008C5C42"/>
    <w:rsid w:val="008C7588"/>
    <w:rsid w:val="008C7ABB"/>
    <w:rsid w:val="008D1F90"/>
    <w:rsid w:val="008D37AB"/>
    <w:rsid w:val="008D6880"/>
    <w:rsid w:val="008E4DF8"/>
    <w:rsid w:val="008F379C"/>
    <w:rsid w:val="008F5202"/>
    <w:rsid w:val="008F5738"/>
    <w:rsid w:val="008F5D6F"/>
    <w:rsid w:val="0090173D"/>
    <w:rsid w:val="00903158"/>
    <w:rsid w:val="00903AB1"/>
    <w:rsid w:val="00904E27"/>
    <w:rsid w:val="009063A0"/>
    <w:rsid w:val="0090729C"/>
    <w:rsid w:val="00911CB3"/>
    <w:rsid w:val="0091255D"/>
    <w:rsid w:val="00920F79"/>
    <w:rsid w:val="0092250B"/>
    <w:rsid w:val="009244C0"/>
    <w:rsid w:val="0093050B"/>
    <w:rsid w:val="00931CF2"/>
    <w:rsid w:val="00932578"/>
    <w:rsid w:val="009326C3"/>
    <w:rsid w:val="00941B07"/>
    <w:rsid w:val="00941CF5"/>
    <w:rsid w:val="00944BA6"/>
    <w:rsid w:val="00945FC4"/>
    <w:rsid w:val="00946CB9"/>
    <w:rsid w:val="00954D0D"/>
    <w:rsid w:val="009609FE"/>
    <w:rsid w:val="009650DC"/>
    <w:rsid w:val="009707D4"/>
    <w:rsid w:val="00971537"/>
    <w:rsid w:val="009729AF"/>
    <w:rsid w:val="00972E2D"/>
    <w:rsid w:val="009808F1"/>
    <w:rsid w:val="00984253"/>
    <w:rsid w:val="009864A8"/>
    <w:rsid w:val="00986677"/>
    <w:rsid w:val="00990989"/>
    <w:rsid w:val="00990F95"/>
    <w:rsid w:val="009A2349"/>
    <w:rsid w:val="009A5EE2"/>
    <w:rsid w:val="009A5F9E"/>
    <w:rsid w:val="009B16FB"/>
    <w:rsid w:val="009B1F8A"/>
    <w:rsid w:val="009B3D59"/>
    <w:rsid w:val="009B63D8"/>
    <w:rsid w:val="009B667B"/>
    <w:rsid w:val="009C5CCE"/>
    <w:rsid w:val="009C7C3C"/>
    <w:rsid w:val="009D15DE"/>
    <w:rsid w:val="009D270D"/>
    <w:rsid w:val="009D509D"/>
    <w:rsid w:val="009D6D91"/>
    <w:rsid w:val="009E27AF"/>
    <w:rsid w:val="009E36E3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0660"/>
    <w:rsid w:val="00A440A6"/>
    <w:rsid w:val="00A4590C"/>
    <w:rsid w:val="00A55D0B"/>
    <w:rsid w:val="00A566DA"/>
    <w:rsid w:val="00A56D1F"/>
    <w:rsid w:val="00A6039A"/>
    <w:rsid w:val="00A61A13"/>
    <w:rsid w:val="00A6302A"/>
    <w:rsid w:val="00A65587"/>
    <w:rsid w:val="00A65ECB"/>
    <w:rsid w:val="00A66832"/>
    <w:rsid w:val="00A70647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009"/>
    <w:rsid w:val="00AA2094"/>
    <w:rsid w:val="00AA33F0"/>
    <w:rsid w:val="00AA35BA"/>
    <w:rsid w:val="00AB1012"/>
    <w:rsid w:val="00AB15AC"/>
    <w:rsid w:val="00AB4B4D"/>
    <w:rsid w:val="00AB730C"/>
    <w:rsid w:val="00AC20DF"/>
    <w:rsid w:val="00AC54BD"/>
    <w:rsid w:val="00AD04BB"/>
    <w:rsid w:val="00AD0CEC"/>
    <w:rsid w:val="00AD1686"/>
    <w:rsid w:val="00AD7D7C"/>
    <w:rsid w:val="00AE0705"/>
    <w:rsid w:val="00AE2EEB"/>
    <w:rsid w:val="00AE5BEB"/>
    <w:rsid w:val="00AF1029"/>
    <w:rsid w:val="00AF2DE5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38F1"/>
    <w:rsid w:val="00B27212"/>
    <w:rsid w:val="00B34276"/>
    <w:rsid w:val="00B34D3A"/>
    <w:rsid w:val="00B34F91"/>
    <w:rsid w:val="00B35A11"/>
    <w:rsid w:val="00B36314"/>
    <w:rsid w:val="00B505E4"/>
    <w:rsid w:val="00B52044"/>
    <w:rsid w:val="00B571E4"/>
    <w:rsid w:val="00B57FB1"/>
    <w:rsid w:val="00B62D76"/>
    <w:rsid w:val="00B6304C"/>
    <w:rsid w:val="00B65A63"/>
    <w:rsid w:val="00B70A42"/>
    <w:rsid w:val="00B74CEE"/>
    <w:rsid w:val="00B7503B"/>
    <w:rsid w:val="00B77009"/>
    <w:rsid w:val="00B80F74"/>
    <w:rsid w:val="00B83F56"/>
    <w:rsid w:val="00B866CB"/>
    <w:rsid w:val="00B86FAC"/>
    <w:rsid w:val="00B87555"/>
    <w:rsid w:val="00B932C1"/>
    <w:rsid w:val="00B9372F"/>
    <w:rsid w:val="00B951A0"/>
    <w:rsid w:val="00BA01A8"/>
    <w:rsid w:val="00BA2169"/>
    <w:rsid w:val="00BB04B7"/>
    <w:rsid w:val="00BB1138"/>
    <w:rsid w:val="00BB34DB"/>
    <w:rsid w:val="00BB574D"/>
    <w:rsid w:val="00BB6FE8"/>
    <w:rsid w:val="00BB7017"/>
    <w:rsid w:val="00BB7E09"/>
    <w:rsid w:val="00BC0670"/>
    <w:rsid w:val="00BC0FD2"/>
    <w:rsid w:val="00BC2501"/>
    <w:rsid w:val="00BC27C9"/>
    <w:rsid w:val="00BC38FC"/>
    <w:rsid w:val="00BC533B"/>
    <w:rsid w:val="00BC551C"/>
    <w:rsid w:val="00BD10D0"/>
    <w:rsid w:val="00BD3A24"/>
    <w:rsid w:val="00BD5A8C"/>
    <w:rsid w:val="00BE069C"/>
    <w:rsid w:val="00BE1AB9"/>
    <w:rsid w:val="00BE43F3"/>
    <w:rsid w:val="00BE43F9"/>
    <w:rsid w:val="00BE5C3A"/>
    <w:rsid w:val="00BF1192"/>
    <w:rsid w:val="00BF2BA8"/>
    <w:rsid w:val="00BF3057"/>
    <w:rsid w:val="00BF6524"/>
    <w:rsid w:val="00BF69FA"/>
    <w:rsid w:val="00C0011C"/>
    <w:rsid w:val="00C00C48"/>
    <w:rsid w:val="00C050DB"/>
    <w:rsid w:val="00C15DBE"/>
    <w:rsid w:val="00C266E8"/>
    <w:rsid w:val="00C33267"/>
    <w:rsid w:val="00C33BEB"/>
    <w:rsid w:val="00C36108"/>
    <w:rsid w:val="00C36A63"/>
    <w:rsid w:val="00C374C4"/>
    <w:rsid w:val="00C421A3"/>
    <w:rsid w:val="00C43B9E"/>
    <w:rsid w:val="00C43BDA"/>
    <w:rsid w:val="00C455D0"/>
    <w:rsid w:val="00C47CBF"/>
    <w:rsid w:val="00C52A1C"/>
    <w:rsid w:val="00C53D82"/>
    <w:rsid w:val="00C564B0"/>
    <w:rsid w:val="00C60386"/>
    <w:rsid w:val="00C62B62"/>
    <w:rsid w:val="00C63453"/>
    <w:rsid w:val="00C6532B"/>
    <w:rsid w:val="00C67BB2"/>
    <w:rsid w:val="00C75FEC"/>
    <w:rsid w:val="00C768F0"/>
    <w:rsid w:val="00C808CE"/>
    <w:rsid w:val="00C80F6B"/>
    <w:rsid w:val="00C8636F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542D"/>
    <w:rsid w:val="00CD2EC0"/>
    <w:rsid w:val="00CD57FF"/>
    <w:rsid w:val="00CE6345"/>
    <w:rsid w:val="00CE7C6C"/>
    <w:rsid w:val="00CF30C3"/>
    <w:rsid w:val="00CF3767"/>
    <w:rsid w:val="00CF6CA2"/>
    <w:rsid w:val="00CF786F"/>
    <w:rsid w:val="00D018CB"/>
    <w:rsid w:val="00D01F5A"/>
    <w:rsid w:val="00D0418C"/>
    <w:rsid w:val="00D1364E"/>
    <w:rsid w:val="00D164A6"/>
    <w:rsid w:val="00D21849"/>
    <w:rsid w:val="00D22211"/>
    <w:rsid w:val="00D24044"/>
    <w:rsid w:val="00D278C1"/>
    <w:rsid w:val="00D307D8"/>
    <w:rsid w:val="00D325D1"/>
    <w:rsid w:val="00D368FB"/>
    <w:rsid w:val="00D43941"/>
    <w:rsid w:val="00D456AB"/>
    <w:rsid w:val="00D46740"/>
    <w:rsid w:val="00D4695E"/>
    <w:rsid w:val="00D56765"/>
    <w:rsid w:val="00D636B4"/>
    <w:rsid w:val="00D63FBA"/>
    <w:rsid w:val="00D67FEF"/>
    <w:rsid w:val="00D700D1"/>
    <w:rsid w:val="00D70BDB"/>
    <w:rsid w:val="00D717CF"/>
    <w:rsid w:val="00D731D2"/>
    <w:rsid w:val="00D75ED7"/>
    <w:rsid w:val="00D8053B"/>
    <w:rsid w:val="00D829AE"/>
    <w:rsid w:val="00D84C9E"/>
    <w:rsid w:val="00D86C9A"/>
    <w:rsid w:val="00D91E9B"/>
    <w:rsid w:val="00D93477"/>
    <w:rsid w:val="00D93FEC"/>
    <w:rsid w:val="00D93FFC"/>
    <w:rsid w:val="00DA0433"/>
    <w:rsid w:val="00DA1FDD"/>
    <w:rsid w:val="00DA4074"/>
    <w:rsid w:val="00DB255D"/>
    <w:rsid w:val="00DB38A9"/>
    <w:rsid w:val="00DC0B44"/>
    <w:rsid w:val="00DC1070"/>
    <w:rsid w:val="00DC1779"/>
    <w:rsid w:val="00DC45D6"/>
    <w:rsid w:val="00DC7570"/>
    <w:rsid w:val="00DE1846"/>
    <w:rsid w:val="00DE2C1A"/>
    <w:rsid w:val="00DE3688"/>
    <w:rsid w:val="00DE7E84"/>
    <w:rsid w:val="00DE7EC6"/>
    <w:rsid w:val="00DF32D2"/>
    <w:rsid w:val="00DF3FD0"/>
    <w:rsid w:val="00DF434E"/>
    <w:rsid w:val="00DF72A0"/>
    <w:rsid w:val="00E03166"/>
    <w:rsid w:val="00E060F9"/>
    <w:rsid w:val="00E16570"/>
    <w:rsid w:val="00E238AB"/>
    <w:rsid w:val="00E25AF1"/>
    <w:rsid w:val="00E26EC9"/>
    <w:rsid w:val="00E31118"/>
    <w:rsid w:val="00E32DE0"/>
    <w:rsid w:val="00E3593C"/>
    <w:rsid w:val="00E44A97"/>
    <w:rsid w:val="00E45A0B"/>
    <w:rsid w:val="00E477DA"/>
    <w:rsid w:val="00E47B18"/>
    <w:rsid w:val="00E50999"/>
    <w:rsid w:val="00E51DAE"/>
    <w:rsid w:val="00E5517C"/>
    <w:rsid w:val="00E5519C"/>
    <w:rsid w:val="00E56A7A"/>
    <w:rsid w:val="00E64690"/>
    <w:rsid w:val="00E67372"/>
    <w:rsid w:val="00E67F2F"/>
    <w:rsid w:val="00E70704"/>
    <w:rsid w:val="00E7083A"/>
    <w:rsid w:val="00E72E81"/>
    <w:rsid w:val="00E731CF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2C7D"/>
    <w:rsid w:val="00EA6B39"/>
    <w:rsid w:val="00EB3223"/>
    <w:rsid w:val="00EB32AD"/>
    <w:rsid w:val="00EB48F7"/>
    <w:rsid w:val="00EB69B8"/>
    <w:rsid w:val="00EC077D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56CF"/>
    <w:rsid w:val="00ED5E51"/>
    <w:rsid w:val="00EE1822"/>
    <w:rsid w:val="00EE4EC2"/>
    <w:rsid w:val="00EF2DCC"/>
    <w:rsid w:val="00EF31D9"/>
    <w:rsid w:val="00EF3E07"/>
    <w:rsid w:val="00EF4CDB"/>
    <w:rsid w:val="00F0291A"/>
    <w:rsid w:val="00F0378F"/>
    <w:rsid w:val="00F10727"/>
    <w:rsid w:val="00F119B5"/>
    <w:rsid w:val="00F14D7B"/>
    <w:rsid w:val="00F1590E"/>
    <w:rsid w:val="00F20E47"/>
    <w:rsid w:val="00F22E7D"/>
    <w:rsid w:val="00F22F9C"/>
    <w:rsid w:val="00F2647D"/>
    <w:rsid w:val="00F26583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22F8"/>
    <w:rsid w:val="00F42708"/>
    <w:rsid w:val="00F42732"/>
    <w:rsid w:val="00F444E9"/>
    <w:rsid w:val="00F51B86"/>
    <w:rsid w:val="00F55241"/>
    <w:rsid w:val="00F55E04"/>
    <w:rsid w:val="00F561FC"/>
    <w:rsid w:val="00F611D2"/>
    <w:rsid w:val="00F613F1"/>
    <w:rsid w:val="00F67130"/>
    <w:rsid w:val="00F67B1D"/>
    <w:rsid w:val="00F70DBA"/>
    <w:rsid w:val="00F733D9"/>
    <w:rsid w:val="00F76C24"/>
    <w:rsid w:val="00F76F48"/>
    <w:rsid w:val="00F82B50"/>
    <w:rsid w:val="00F83AE6"/>
    <w:rsid w:val="00F84B99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6498"/>
    <w:rsid w:val="00FC189D"/>
    <w:rsid w:val="00FC192D"/>
    <w:rsid w:val="00FC633C"/>
    <w:rsid w:val="00FD3CA7"/>
    <w:rsid w:val="00FD6311"/>
    <w:rsid w:val="00FD741F"/>
    <w:rsid w:val="00FE2A8A"/>
    <w:rsid w:val="00FE441A"/>
    <w:rsid w:val="00FE5382"/>
    <w:rsid w:val="00FE6EC9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550A"/>
  </w:style>
  <w:style w:type="paragraph" w:styleId="Heading1">
    <w:name w:val="heading 1"/>
    <w:basedOn w:val="Normal"/>
    <w:next w:val="Normal"/>
    <w:link w:val="Heading1Char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8550A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FF43-A665-4106-A4C5-654C2758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DROMIC_HP</cp:lastModifiedBy>
  <cp:revision>33</cp:revision>
  <dcterms:created xsi:type="dcterms:W3CDTF">2021-09-06T04:03:00Z</dcterms:created>
  <dcterms:modified xsi:type="dcterms:W3CDTF">2021-12-14T08:27:00Z</dcterms:modified>
</cp:coreProperties>
</file>