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BD9C" w14:textId="77777777" w:rsidR="009B6F7A" w:rsidRDefault="009B6F7A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B6F7A">
        <w:rPr>
          <w:rFonts w:ascii="Arial" w:hAnsi="Arial" w:cs="Arial"/>
          <w:b/>
          <w:sz w:val="32"/>
          <w:szCs w:val="24"/>
        </w:rPr>
        <w:t xml:space="preserve">DROMIC Report #1 on the Fire incident in </w:t>
      </w:r>
    </w:p>
    <w:p w14:paraId="7AF16C48" w14:textId="26C81E61" w:rsidR="002E5683" w:rsidRDefault="009B6F7A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B6F7A">
        <w:rPr>
          <w:rFonts w:ascii="Arial" w:hAnsi="Arial" w:cs="Arial"/>
          <w:b/>
          <w:sz w:val="32"/>
          <w:szCs w:val="24"/>
        </w:rPr>
        <w:t xml:space="preserve">Brgy. Commonwealth, Quezon City </w:t>
      </w:r>
    </w:p>
    <w:p w14:paraId="5475333E" w14:textId="130547E7" w:rsidR="00F71FAA" w:rsidRDefault="009B6F7A" w:rsidP="009B6F7A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B6F7A">
        <w:rPr>
          <w:rFonts w:ascii="Arial" w:eastAsia="Arial" w:hAnsi="Arial" w:cs="Arial"/>
          <w:sz w:val="24"/>
          <w:szCs w:val="24"/>
        </w:rPr>
        <w:t>as of 14 March 2022, 6PM</w:t>
      </w:r>
    </w:p>
    <w:p w14:paraId="4CA42456" w14:textId="77777777" w:rsidR="00032ABA" w:rsidRPr="000F7EC7" w:rsidRDefault="00032ABA" w:rsidP="009B6F7A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50414859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F32CA6">
        <w:rPr>
          <w:rFonts w:ascii="Arial" w:hAnsi="Arial" w:cs="Arial"/>
          <w:sz w:val="24"/>
          <w:szCs w:val="24"/>
          <w:lang w:val="en-US"/>
        </w:rPr>
        <w:t xml:space="preserve">06 March 2022, at 6:49AM, </w:t>
      </w:r>
      <w:r w:rsidR="005948E5">
        <w:rPr>
          <w:rFonts w:ascii="Arial" w:hAnsi="Arial" w:cs="Arial"/>
          <w:sz w:val="24"/>
          <w:szCs w:val="24"/>
          <w:lang w:val="en-US"/>
        </w:rPr>
        <w:t xml:space="preserve">a fire incident transpired in </w:t>
      </w:r>
      <w:r w:rsidR="00F32CA6">
        <w:rPr>
          <w:rFonts w:ascii="Arial" w:hAnsi="Arial" w:cs="Arial"/>
          <w:sz w:val="24"/>
          <w:szCs w:val="24"/>
          <w:lang w:val="en-US"/>
        </w:rPr>
        <w:t xml:space="preserve">Halamanan St., </w:t>
      </w:r>
      <w:r w:rsidR="00F32CA6" w:rsidRPr="00F32CA6">
        <w:rPr>
          <w:rFonts w:ascii="Arial" w:hAnsi="Arial" w:cs="Arial"/>
          <w:sz w:val="24"/>
          <w:szCs w:val="24"/>
          <w:lang w:val="en-US"/>
        </w:rPr>
        <w:t>Brgy. Commonwealth, Quezon City</w:t>
      </w:r>
      <w:r w:rsidR="005948E5" w:rsidRPr="00F32CA6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D5DBAA9" w:rsidR="00E0043D" w:rsidRPr="00AD3032" w:rsidRDefault="00704B9F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4F1F5A9E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B63B4C" w:rsidRPr="00B63B4C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093DBE" w:rsidRPr="00093DBE">
        <w:rPr>
          <w:rFonts w:ascii="Arial" w:eastAsia="Arial" w:hAnsi="Arial" w:cs="Arial"/>
          <w:b/>
          <w:color w:val="0070C0"/>
          <w:sz w:val="24"/>
          <w:szCs w:val="24"/>
        </w:rPr>
        <w:t>1,400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73072A" w:rsidRPr="0073072A">
        <w:rPr>
          <w:rFonts w:ascii="Arial" w:eastAsia="Arial" w:hAnsi="Arial" w:cs="Arial"/>
          <w:b/>
          <w:bCs/>
          <w:color w:val="0070C0"/>
          <w:sz w:val="24"/>
          <w:szCs w:val="24"/>
        </w:rPr>
        <w:t>Brgy. Commonwealth, Quezon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674"/>
        <w:gridCol w:w="1148"/>
        <w:gridCol w:w="1144"/>
      </w:tblGrid>
      <w:tr w:rsidR="003E600D" w:rsidRPr="003E600D" w14:paraId="4FB80B10" w14:textId="77777777" w:rsidTr="003E600D">
        <w:trPr>
          <w:trHeight w:val="20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A29A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E3F4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E600D" w:rsidRPr="003E600D" w14:paraId="6737E67E" w14:textId="77777777" w:rsidTr="003E600D">
        <w:trPr>
          <w:trHeight w:val="20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6B51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C3B0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18CB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0621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E600D" w:rsidRPr="003E600D" w14:paraId="30ADDC66" w14:textId="77777777" w:rsidTr="003E600D">
        <w:trPr>
          <w:trHeight w:val="20"/>
        </w:trPr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5BB7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77B16" w14:textId="7D32EF96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BB47" w14:textId="7544EAA4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8D27" w14:textId="3C7FBD96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3E600D" w:rsidRPr="003E600D" w14:paraId="3E6B071A" w14:textId="77777777" w:rsidTr="003E600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F69F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E2C4" w14:textId="1DA7EB24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14B19" w14:textId="1943EBB8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EC60" w14:textId="126A242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3E600D" w:rsidRPr="003E600D" w14:paraId="051EC877" w14:textId="77777777" w:rsidTr="003E600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3D53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5A91" w14:textId="78058905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361B" w14:textId="15424ACA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83F3" w14:textId="363B2A10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3E600D" w:rsidRPr="003E600D" w14:paraId="64C6A3F1" w14:textId="77777777" w:rsidTr="003E600D">
        <w:trPr>
          <w:trHeight w:val="20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1FC7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BEA7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F0B2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C964" w14:textId="77777777" w:rsidR="003E600D" w:rsidRPr="003E600D" w:rsidRDefault="003E600D" w:rsidP="003E60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00D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48B6F7ED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B478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4F19B3C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C97BF3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E3529">
        <w:rPr>
          <w:rFonts w:ascii="Arial" w:eastAsia="Arial" w:hAnsi="Arial" w:cs="Arial"/>
          <w:b/>
          <w:color w:val="0070C0"/>
          <w:sz w:val="24"/>
          <w:szCs w:val="24"/>
        </w:rPr>
        <w:t>1,400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99069B" w:rsidRPr="0099069B">
        <w:rPr>
          <w:rFonts w:ascii="Arial" w:hAnsi="Arial" w:cs="Arial"/>
          <w:b/>
          <w:bCs/>
          <w:color w:val="0070C0"/>
          <w:sz w:val="24"/>
          <w:szCs w:val="24"/>
        </w:rPr>
        <w:t>Commonwealth Heights Subdivision Covered Court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875"/>
        <w:gridCol w:w="879"/>
        <w:gridCol w:w="875"/>
        <w:gridCol w:w="879"/>
        <w:gridCol w:w="875"/>
        <w:gridCol w:w="875"/>
      </w:tblGrid>
      <w:tr w:rsidR="00070837" w:rsidRPr="00070837" w14:paraId="7F58E64B" w14:textId="77777777" w:rsidTr="00070837">
        <w:trPr>
          <w:trHeight w:val="20"/>
        </w:trPr>
        <w:tc>
          <w:tcPr>
            <w:tcW w:w="1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749B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269D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39BE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70837" w:rsidRPr="00070837" w14:paraId="4F619398" w14:textId="77777777" w:rsidTr="00070837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B4E6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9387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6FD1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70837" w:rsidRPr="00070837" w14:paraId="069BBFD2" w14:textId="77777777" w:rsidTr="00070837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12FF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A63D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57B0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D97E" w14:textId="500BC77B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0837" w:rsidRPr="00070837" w14:paraId="612760B7" w14:textId="77777777" w:rsidTr="00070837">
        <w:trPr>
          <w:trHeight w:val="20"/>
        </w:trPr>
        <w:tc>
          <w:tcPr>
            <w:tcW w:w="1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974F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7822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804D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2DC8C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A0C8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DBCB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CAFF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0837" w:rsidRPr="00070837" w14:paraId="05508A67" w14:textId="77777777" w:rsidTr="00070837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6694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F1B8" w14:textId="37ECB391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ACAEE" w14:textId="3DC0795F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7D0F3" w14:textId="54AD63F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AE81" w14:textId="3810C9BD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557F" w14:textId="61B84464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9952" w14:textId="0B50FDD1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0837" w:rsidRPr="00070837" w14:paraId="46F32A2E" w14:textId="77777777" w:rsidTr="00070837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39F3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9BF" w14:textId="2463DAB4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51A3" w14:textId="62BB519C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BE77" w14:textId="476FFC38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DCC7" w14:textId="601323AC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C0BE" w14:textId="2DD7F8E3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1C00" w14:textId="0F5811C3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0837" w:rsidRPr="00070837" w14:paraId="69FA91C4" w14:textId="77777777" w:rsidTr="00070837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FC0D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7AA7" w14:textId="1EB0BDC8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434B" w14:textId="5304655E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5A01" w14:textId="0040D683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B653" w14:textId="1ED74EFA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5F74" w14:textId="6CC64A80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9BB0" w14:textId="2B50E04F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070837" w:rsidRPr="00070837" w14:paraId="09BD6952" w14:textId="77777777" w:rsidTr="00070837">
        <w:trPr>
          <w:trHeight w:val="20"/>
        </w:trPr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FC72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7F00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F7D2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AFE71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1602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2636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DD80" w14:textId="77777777" w:rsidR="00070837" w:rsidRPr="00070837" w:rsidRDefault="00070837" w:rsidP="0007083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837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</w:tr>
    </w:tbl>
    <w:p w14:paraId="526EFC45" w14:textId="4B408E13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5F888DBF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F97C64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E4BF45" w14:textId="6C6A84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06D21E84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2DCB">
        <w:rPr>
          <w:rFonts w:ascii="Arial" w:hAnsi="Arial" w:cs="Arial"/>
          <w:b/>
          <w:bCs/>
          <w:color w:val="0070C0"/>
          <w:sz w:val="24"/>
          <w:szCs w:val="24"/>
        </w:rPr>
        <w:t>150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D72DCB">
        <w:rPr>
          <w:rFonts w:ascii="Arial" w:hAnsi="Arial" w:cs="Arial"/>
          <w:bCs/>
          <w:sz w:val="24"/>
          <w:szCs w:val="24"/>
        </w:rPr>
        <w:t xml:space="preserve">totally </w:t>
      </w:r>
      <w:r w:rsidRPr="00A13728">
        <w:rPr>
          <w:rFonts w:ascii="Arial" w:hAnsi="Arial" w:cs="Arial"/>
          <w:bCs/>
          <w:sz w:val="24"/>
          <w:szCs w:val="24"/>
        </w:rPr>
        <w:t xml:space="preserve">damaged in </w:t>
      </w:r>
      <w:r w:rsidR="00D72DCB" w:rsidRPr="00D72DCB">
        <w:rPr>
          <w:rFonts w:ascii="Arial" w:hAnsi="Arial" w:cs="Arial"/>
          <w:b/>
          <w:bCs/>
          <w:color w:val="0070C0"/>
          <w:sz w:val="24"/>
          <w:szCs w:val="24"/>
        </w:rPr>
        <w:t>Brgy. Commonwealth, Quezon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D72DCB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26C13C2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72DCB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1220"/>
        <w:gridCol w:w="1220"/>
        <w:gridCol w:w="1218"/>
      </w:tblGrid>
      <w:tr w:rsidR="00BA5064" w:rsidRPr="00BA5064" w14:paraId="5AA8F91E" w14:textId="77777777" w:rsidTr="00BA5064">
        <w:trPr>
          <w:trHeight w:val="20"/>
        </w:trPr>
        <w:tc>
          <w:tcPr>
            <w:tcW w:w="2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838F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CE88" w14:textId="0B86592D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A5064" w:rsidRPr="00BA5064" w14:paraId="5E3B465F" w14:textId="77777777" w:rsidTr="00BA5064">
        <w:trPr>
          <w:trHeight w:val="20"/>
        </w:trPr>
        <w:tc>
          <w:tcPr>
            <w:tcW w:w="2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8756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BA26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F75A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C36B2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A5064" w:rsidRPr="00BA5064" w14:paraId="073F0DB4" w14:textId="77777777" w:rsidTr="00BA5064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5CAA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B256" w14:textId="2818CACB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5926" w14:textId="59CDA5CA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9BA5B" w14:textId="4BAC3B0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5064" w:rsidRPr="00BA5064" w14:paraId="619D796E" w14:textId="77777777" w:rsidTr="00BA5064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614C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6F35" w14:textId="519E86E2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32DA" w14:textId="0B91C57D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8C91" w14:textId="48D672F1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5064" w:rsidRPr="00BA5064" w14:paraId="000208F3" w14:textId="77777777" w:rsidTr="00BA5064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85A3C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9180" w14:textId="670639F5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D64F" w14:textId="2C62F426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6372" w14:textId="33457D12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5064" w:rsidRPr="00BA5064" w14:paraId="747B1172" w14:textId="77777777" w:rsidTr="00BA5064">
        <w:trPr>
          <w:trHeight w:val="20"/>
        </w:trPr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018E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9607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E7264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5D16" w14:textId="77777777" w:rsidR="00BA5064" w:rsidRPr="00BA5064" w:rsidRDefault="00BA5064" w:rsidP="00BA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06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7FB65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DB31032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BA5064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E94FD5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94FD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94FD5" w:rsidRPr="00E94FD5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E94FD5" w:rsidRPr="00E94FD5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94FD5" w:rsidRPr="00E94FD5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94FD5" w:rsidRPr="00E94FD5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4E9359E7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230,465,962.30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3BD4C433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18,116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299FF117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10,767,187.76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192BA059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144,977,918.94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51B600D2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551,387,807.2</w:t>
            </w:r>
            <w:r w:rsidR="00E94FD5" w:rsidRPr="00E94FD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E94FD5" w:rsidRPr="00E94FD5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285CF1FD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424D73F2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</w:tr>
      <w:tr w:rsidR="00E94FD5" w:rsidRPr="00E94FD5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19353F37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16,165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736F403A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9,650,505.00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6BC82AA9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139,842,509.98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48D1834D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292,678,942.07</w:t>
            </w:r>
          </w:p>
        </w:tc>
      </w:tr>
      <w:tr w:rsidR="00E94FD5" w:rsidRPr="00E94FD5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77777777" w:rsidR="007B202F" w:rsidRPr="00E94FD5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374D924A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</w:t>
            </w:r>
            <w:r w:rsidRPr="00E94FD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1EFAD100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12,440.00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1DC58277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2,842,510.00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0783B6C9" w:rsidR="007B202F" w:rsidRPr="00E94FD5" w:rsidRDefault="001319B3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20,796,306.7</w:t>
            </w:r>
          </w:p>
        </w:tc>
      </w:tr>
      <w:tr w:rsidR="00E94FD5" w:rsidRPr="00E94FD5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22DEBEEA" w:rsidR="000B5DB4" w:rsidRPr="00E94FD5" w:rsidRDefault="002263EA" w:rsidP="000B5DB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56701CE8" w:rsidR="000B5DB4" w:rsidRPr="00E94FD5" w:rsidRDefault="001319B3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4,980,563.30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5ADEF604" w:rsidR="000B5DB4" w:rsidRPr="00E94FD5" w:rsidRDefault="001319B3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1,931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60CCAD6F" w:rsidR="000B5DB4" w:rsidRPr="00E94FD5" w:rsidRDefault="001319B3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1,074,242.76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5C3E0E20" w:rsidR="000B5DB4" w:rsidRPr="00E94FD5" w:rsidRDefault="001319B3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2,292,898.9</w:t>
            </w:r>
            <w:r w:rsidRPr="00E94FD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68834D5F" w:rsidR="000B5DB4" w:rsidRPr="00E94FD5" w:rsidRDefault="001319B3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94FD5">
              <w:rPr>
                <w:rFonts w:ascii="Arial Narrow" w:hAnsi="Arial Narrow"/>
                <w:sz w:val="18"/>
                <w:szCs w:val="18"/>
              </w:rPr>
              <w:t>12,427,159.47</w:t>
            </w:r>
          </w:p>
        </w:tc>
      </w:tr>
    </w:tbl>
    <w:p w14:paraId="5D19D6D8" w14:textId="5E7B3A50" w:rsidR="007B202F" w:rsidRPr="00E94FD5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94FD5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E94FD5" w:rsidRPr="00E94FD5">
        <w:rPr>
          <w:rFonts w:ascii="Arial" w:hAnsi="Arial" w:cs="Arial"/>
          <w:i/>
          <w:sz w:val="16"/>
          <w:szCs w:val="24"/>
        </w:rPr>
        <w:t>14</w:t>
      </w:r>
      <w:r w:rsidRPr="00E94FD5">
        <w:rPr>
          <w:rFonts w:ascii="Arial" w:hAnsi="Arial" w:cs="Arial"/>
          <w:i/>
          <w:sz w:val="16"/>
          <w:szCs w:val="24"/>
        </w:rPr>
        <w:t xml:space="preserve"> </w:t>
      </w:r>
      <w:r w:rsidR="00E94FD5" w:rsidRPr="00E94FD5">
        <w:rPr>
          <w:rFonts w:ascii="Arial" w:hAnsi="Arial" w:cs="Arial"/>
          <w:i/>
          <w:sz w:val="16"/>
          <w:szCs w:val="24"/>
        </w:rPr>
        <w:t>March</w:t>
      </w:r>
      <w:r w:rsidRPr="00E94FD5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E94FD5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94FD5">
        <w:rPr>
          <w:rFonts w:ascii="Arial" w:hAnsi="Arial" w:cs="Arial"/>
          <w:bCs/>
          <w:i/>
          <w:sz w:val="16"/>
        </w:rPr>
        <w:t xml:space="preserve">    </w:t>
      </w:r>
      <w:r w:rsidRPr="00E94FD5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E94FD5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E94FD5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94FD5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5E7CBBCC" w:rsidR="007B202F" w:rsidRPr="00E94FD5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94FD5">
        <w:rPr>
          <w:rFonts w:ascii="Arial" w:eastAsia="Arial" w:hAnsi="Arial" w:cs="Arial"/>
        </w:rPr>
        <w:t>₱</w:t>
      </w:r>
      <w:r w:rsidR="00E94FD5">
        <w:rPr>
          <w:rFonts w:ascii="Arial" w:eastAsia="Arial" w:hAnsi="Arial" w:cs="Arial"/>
        </w:rPr>
        <w:t>230.47</w:t>
      </w:r>
      <w:r w:rsidRPr="00E94FD5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1353DFAA" w:rsidR="007B202F" w:rsidRPr="00E94FD5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94FD5">
        <w:rPr>
          <w:rFonts w:ascii="Arial" w:eastAsia="Arial" w:hAnsi="Arial" w:cs="Arial"/>
        </w:rPr>
        <w:t>₱</w:t>
      </w:r>
      <w:r w:rsidR="00E94FD5">
        <w:rPr>
          <w:rFonts w:ascii="Arial" w:eastAsia="Arial" w:hAnsi="Arial" w:cs="Arial"/>
        </w:rPr>
        <w:t>4.98</w:t>
      </w:r>
      <w:r w:rsidRPr="00E94FD5">
        <w:rPr>
          <w:rFonts w:ascii="Arial" w:eastAsia="Arial" w:hAnsi="Arial" w:cs="Arial"/>
        </w:rPr>
        <w:t xml:space="preserve"> million available at DSWD-FO </w:t>
      </w:r>
      <w:r w:rsidR="00AF6FA8" w:rsidRPr="00E94FD5">
        <w:rPr>
          <w:rFonts w:ascii="Arial" w:eastAsia="Arial" w:hAnsi="Arial" w:cs="Arial"/>
        </w:rPr>
        <w:t>NCR</w:t>
      </w:r>
      <w:r w:rsidRPr="00E94FD5">
        <w:rPr>
          <w:rFonts w:ascii="Arial" w:hAnsi="Arial" w:cs="Arial"/>
        </w:rPr>
        <w:t>.</w:t>
      </w:r>
    </w:p>
    <w:p w14:paraId="6FE3822C" w14:textId="77777777" w:rsidR="007B202F" w:rsidRPr="00E94FD5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E94FD5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94FD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2630750B" w:rsidR="007B202F" w:rsidRPr="00E94FD5" w:rsidRDefault="00E94FD5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16,185</w:t>
      </w:r>
      <w:r w:rsidR="007B202F" w:rsidRPr="00E94FD5">
        <w:rPr>
          <w:rFonts w:ascii="Arial" w:eastAsia="Arial" w:hAnsi="Arial" w:cs="Arial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Cs w:val="24"/>
        </w:rPr>
        <w:t>16,165</w:t>
      </w:r>
      <w:r w:rsidR="007B202F" w:rsidRPr="00E94FD5">
        <w:rPr>
          <w:rFonts w:ascii="Arial" w:eastAsia="Arial" w:hAnsi="Arial" w:cs="Arial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Cs w:val="24"/>
        </w:rPr>
        <w:t>20</w:t>
      </w:r>
      <w:r w:rsidR="007B202F" w:rsidRPr="00E94FD5">
        <w:rPr>
          <w:rFonts w:ascii="Arial" w:eastAsia="Arial" w:hAnsi="Arial" w:cs="Arial"/>
          <w:szCs w:val="24"/>
        </w:rPr>
        <w:t xml:space="preserve"> FFPs are at the Visayas Disaster Response Center (VDRC), Cebu City.</w:t>
      </w:r>
    </w:p>
    <w:p w14:paraId="503F7330" w14:textId="2816D7FF" w:rsidR="007B202F" w:rsidRPr="00E94FD5" w:rsidRDefault="00E94FD5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1,931</w:t>
      </w:r>
      <w:r w:rsidR="007B202F" w:rsidRPr="00E94FD5">
        <w:rPr>
          <w:rFonts w:ascii="Arial" w:eastAsia="Arial" w:hAnsi="Arial" w:cs="Arial"/>
          <w:szCs w:val="24"/>
        </w:rPr>
        <w:t xml:space="preserve"> FFPs available at DSWD-FO </w:t>
      </w:r>
      <w:r w:rsidR="00AF6FA8" w:rsidRPr="00E94FD5">
        <w:rPr>
          <w:rFonts w:ascii="Arial" w:eastAsia="Arial" w:hAnsi="Arial" w:cs="Arial"/>
          <w:szCs w:val="24"/>
        </w:rPr>
        <w:t>NCR</w:t>
      </w:r>
      <w:r w:rsidR="003D58D7" w:rsidRPr="00E94FD5">
        <w:rPr>
          <w:rFonts w:ascii="Arial" w:eastAsia="Arial" w:hAnsi="Arial" w:cs="Arial"/>
          <w:szCs w:val="24"/>
        </w:rPr>
        <w:t>.</w:t>
      </w:r>
    </w:p>
    <w:p w14:paraId="2D32E29D" w14:textId="47055855" w:rsidR="007B202F" w:rsidRPr="00E94FD5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94FD5">
        <w:rPr>
          <w:rFonts w:ascii="Arial" w:eastAsia="Arial" w:hAnsi="Arial" w:cs="Arial"/>
        </w:rPr>
        <w:t>₱</w:t>
      </w:r>
      <w:r w:rsidR="00E94FD5">
        <w:rPr>
          <w:rFonts w:ascii="Arial" w:eastAsia="Arial" w:hAnsi="Arial" w:cs="Arial"/>
        </w:rPr>
        <w:t>144.98</w:t>
      </w:r>
      <w:r w:rsidRPr="00E94FD5">
        <w:rPr>
          <w:rFonts w:ascii="Arial" w:eastAsia="Arial" w:hAnsi="Arial" w:cs="Arial"/>
        </w:rPr>
        <w:t xml:space="preserve"> million worth of other FNIs at NROC, VDRC and DSWD-FO </w:t>
      </w:r>
      <w:r w:rsidR="00AF6FA8" w:rsidRPr="00E94FD5">
        <w:rPr>
          <w:rFonts w:ascii="Arial" w:eastAsia="Arial" w:hAnsi="Arial" w:cs="Arial"/>
        </w:rPr>
        <w:t>NCR</w:t>
      </w:r>
      <w:r w:rsidRPr="00E94FD5">
        <w:rPr>
          <w:rFonts w:ascii="Arial" w:eastAsia="Arial" w:hAnsi="Arial" w:cs="Arial"/>
        </w:rPr>
        <w:t xml:space="preserve"> warehouses.</w:t>
      </w:r>
    </w:p>
    <w:p w14:paraId="3962713F" w14:textId="7D984633" w:rsidR="008B142D" w:rsidRDefault="008B142D" w:rsidP="003005A2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0F421CF4" w14:textId="77777777" w:rsidR="009664C6" w:rsidRPr="003C6028" w:rsidRDefault="009664C6" w:rsidP="009664C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5D670C" w14:textId="77777777" w:rsidR="009664C6" w:rsidRPr="003C6028" w:rsidRDefault="009664C6" w:rsidP="009664C6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602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78473037" w14:textId="77777777" w:rsidR="009664C6" w:rsidRPr="003C6028" w:rsidRDefault="009664C6" w:rsidP="009664C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674"/>
      </w:tblGrid>
      <w:tr w:rsidR="009664C6" w:rsidRPr="003C6028" w14:paraId="09BC674E" w14:textId="77777777" w:rsidTr="008D1041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ADBB" w14:textId="77777777" w:rsidR="009664C6" w:rsidRPr="003C6028" w:rsidRDefault="009664C6" w:rsidP="008D10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D398" w14:textId="77777777" w:rsidR="009664C6" w:rsidRPr="003C6028" w:rsidRDefault="009664C6" w:rsidP="008D10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SITUATIONS / ACTIONS UNDERTAKEN</w:t>
            </w:r>
          </w:p>
        </w:tc>
      </w:tr>
      <w:tr w:rsidR="009664C6" w:rsidRPr="003C6028" w14:paraId="16D20073" w14:textId="77777777" w:rsidTr="008D1041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E332" w14:textId="58402AAF" w:rsidR="009664C6" w:rsidRPr="003C6028" w:rsidRDefault="008B03DF" w:rsidP="008D10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11</w:t>
            </w:r>
            <w:r w:rsidR="009664C6"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March 2022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B00F" w14:textId="6030781C" w:rsidR="00C702F1" w:rsidRPr="00C702F1" w:rsidRDefault="009664C6" w:rsidP="005675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30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The </w:t>
            </w:r>
            <w:r w:rsidR="009C501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Quezon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City Social </w:t>
            </w:r>
            <w:r w:rsidR="009C501E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Services and Development Department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continuously conducts</w:t>
            </w:r>
            <w:r w:rsidR="007C4FB5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intake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interviews, 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</w:t>
            </w:r>
            <w:r w:rsidR="00933100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listing, </w:t>
            </w:r>
            <w:r w:rsidRPr="003C6028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assessment and validation using the Disaster Assistance Family Access Card (DAFAC)/White Card to the affected families. Also, the same office provided hot meals and other relief items to the affected families.</w:t>
            </w:r>
            <w:r w:rsidR="00C702F1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 xml:space="preserve"> Also, the same office provided hot meals to the affected families</w:t>
            </w:r>
          </w:p>
        </w:tc>
      </w:tr>
    </w:tbl>
    <w:p w14:paraId="55CA1607" w14:textId="721287F6" w:rsidR="009664C6" w:rsidRDefault="009664C6" w:rsidP="003005A2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4BF6EA38" w14:textId="77777777" w:rsidR="009664C6" w:rsidRPr="00796923" w:rsidRDefault="009664C6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362BF31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The Disaster Response Operations Monitoring and Information Center (DROMIC) of DSWD-DRMB is closely coordinating with DSWD-FO </w:t>
      </w:r>
      <w:r w:rsidR="0056751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ECF508F" w:rsidR="00D1254E" w:rsidRPr="00AD3032" w:rsidRDefault="00ED6F4B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12C" w14:textId="77777777" w:rsidR="00DD221B" w:rsidRDefault="00DD221B" w:rsidP="00C12445">
      <w:pPr>
        <w:spacing w:after="0" w:line="240" w:lineRule="auto"/>
      </w:pPr>
      <w:r>
        <w:separator/>
      </w:r>
    </w:p>
  </w:endnote>
  <w:endnote w:type="continuationSeparator" w:id="0">
    <w:p w14:paraId="37E8CD2F" w14:textId="77777777" w:rsidR="00DD221B" w:rsidRDefault="00DD221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3B1686" w:rsidR="00406155" w:rsidRPr="00195A09" w:rsidRDefault="00032ABA" w:rsidP="00032ABA">
            <w:pPr>
              <w:pStyle w:val="Footer"/>
              <w:jc w:val="right"/>
              <w:rPr>
                <w:sz w:val="16"/>
                <w:szCs w:val="20"/>
              </w:rPr>
            </w:pPr>
            <w:r w:rsidRPr="00032ABA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r w:rsidRPr="00032ABA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 xml:space="preserve">rgy. Commonwealth, Quezon City </w:t>
            </w:r>
            <w:r w:rsidRPr="00032ABA">
              <w:rPr>
                <w:sz w:val="16"/>
                <w:szCs w:val="20"/>
              </w:rPr>
              <w:t>as of 14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B03D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B03D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82DD" w14:textId="77777777" w:rsidR="00DD221B" w:rsidRDefault="00DD221B" w:rsidP="00C12445">
      <w:pPr>
        <w:spacing w:after="0" w:line="240" w:lineRule="auto"/>
      </w:pPr>
      <w:r>
        <w:separator/>
      </w:r>
    </w:p>
  </w:footnote>
  <w:footnote w:type="continuationSeparator" w:id="0">
    <w:p w14:paraId="77FFA92D" w14:textId="77777777" w:rsidR="00DD221B" w:rsidRDefault="00DD221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595B83"/>
    <w:multiLevelType w:val="hybridMultilevel"/>
    <w:tmpl w:val="E2C8D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2ABA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654DF"/>
    <w:rsid w:val="00070837"/>
    <w:rsid w:val="0008449C"/>
    <w:rsid w:val="000855F4"/>
    <w:rsid w:val="00090EBE"/>
    <w:rsid w:val="00092973"/>
    <w:rsid w:val="00093DBE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19B3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263EA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190E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600D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49FB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514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B7A58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B9F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072A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C4FB5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03DF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100"/>
    <w:rsid w:val="00933B7B"/>
    <w:rsid w:val="00934B56"/>
    <w:rsid w:val="009364EA"/>
    <w:rsid w:val="00950E98"/>
    <w:rsid w:val="00952329"/>
    <w:rsid w:val="00953E71"/>
    <w:rsid w:val="0096453D"/>
    <w:rsid w:val="00965AB1"/>
    <w:rsid w:val="009664C6"/>
    <w:rsid w:val="00973D1A"/>
    <w:rsid w:val="00974DFD"/>
    <w:rsid w:val="00976563"/>
    <w:rsid w:val="00976C92"/>
    <w:rsid w:val="00981DD4"/>
    <w:rsid w:val="0099069B"/>
    <w:rsid w:val="00992F6F"/>
    <w:rsid w:val="009930C9"/>
    <w:rsid w:val="00994BAA"/>
    <w:rsid w:val="0099537C"/>
    <w:rsid w:val="009A79A0"/>
    <w:rsid w:val="009B6CBE"/>
    <w:rsid w:val="009B6F7A"/>
    <w:rsid w:val="009C501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AF6FA8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8C9"/>
    <w:rsid w:val="00B47987"/>
    <w:rsid w:val="00B50564"/>
    <w:rsid w:val="00B55D6C"/>
    <w:rsid w:val="00B60797"/>
    <w:rsid w:val="00B6376D"/>
    <w:rsid w:val="00B63B4C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5064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02F1"/>
    <w:rsid w:val="00C73E9E"/>
    <w:rsid w:val="00C750B1"/>
    <w:rsid w:val="00C81E4C"/>
    <w:rsid w:val="00C84907"/>
    <w:rsid w:val="00C920C7"/>
    <w:rsid w:val="00C94531"/>
    <w:rsid w:val="00C9613C"/>
    <w:rsid w:val="00C97BF3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3529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2DCB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221B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4FD5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6F4B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2CA6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97C64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305D-DFEB-4164-9CA2-25EAEE0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122</cp:revision>
  <cp:lastPrinted>2021-07-05T02:11:00Z</cp:lastPrinted>
  <dcterms:created xsi:type="dcterms:W3CDTF">2021-12-11T07:19:00Z</dcterms:created>
  <dcterms:modified xsi:type="dcterms:W3CDTF">2022-03-14T09:17:00Z</dcterms:modified>
</cp:coreProperties>
</file>