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#975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07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202124"/>
          <w:sz w:val="24"/>
          <w:szCs w:val="24"/>
          <w:rtl w:val="0"/>
        </w:rPr>
        <w:t xml:space="preserve">06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202124"/>
          <w:sz w:val="24"/>
          <w:szCs w:val="24"/>
          <w:rtl w:val="0"/>
        </w:rPr>
        <w:t xml:space="preserve">3,667,542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202124"/>
          <w:sz w:val="24"/>
          <w:szCs w:val="24"/>
          <w:rtl w:val="0"/>
        </w:rPr>
        <w:t xml:space="preserve">48,793</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202124"/>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3,561,726</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202124"/>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202124"/>
          <w:sz w:val="24"/>
          <w:szCs w:val="24"/>
          <w:rtl w:val="0"/>
        </w:rPr>
        <w:t xml:space="preserve">57,023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DOH-COVID-19 Bulletin #722</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₱3,537,591,973.09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202124"/>
          <w:sz w:val="24"/>
          <w:szCs w:val="24"/>
          <w:rtl w:val="0"/>
        </w:rPr>
        <w:t xml:space="preserve">₱2,773,501,687.96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202124"/>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2,773,501,687.96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3,537,591,973.09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600,754,358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966,164,358.00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99,804,446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99,804,446.46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68,603,245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127,453,245.00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144,742,527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144,742,526.70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61,957,199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61,957,198.60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5,257,255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5,257,255.26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1,069,273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1,069,273.32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54,288,698.55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2,923,974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2,923,973.66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18,017,104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18,017,103.84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10,836,194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10,836,193.51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77,799,874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77,799,873.78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14,309,407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14,309,407.35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1,153,419.50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94,972,918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98,049,867.86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1,369,259.50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608,501.29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251,185.00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349,377.68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34,388,601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34,438,600.55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74,482.96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210,935,360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220,298,224.82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45,928,301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45,999,256.41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1,433,510.16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63,006,147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72,298,056.09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2,325,218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2,421,218.36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985,391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985,390.88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₱1,197,553,310.12</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₱299,664,042.16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0070c0"/>
          <w:sz w:val="24"/>
          <w:szCs w:val="24"/>
          <w:rtl w:val="0"/>
        </w:rPr>
        <w:t xml:space="preserve">₱225,485,399.00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is the available</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b w:val="1"/>
          <w:color w:val="0070c0"/>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b w:val="1"/>
          <w:color w:val="202124"/>
          <w:sz w:val="24"/>
          <w:szCs w:val="24"/>
        </w:rPr>
      </w:pPr>
      <w:r w:rsidDel="00000000" w:rsidR="00000000" w:rsidRPr="00000000">
        <w:rPr>
          <w:rtl w:val="0"/>
        </w:rPr>
      </w:r>
    </w:p>
    <w:p w:rsidR="00000000" w:rsidDel="00000000" w:rsidP="00000000" w:rsidRDefault="00000000" w:rsidRPr="00000000" w14:paraId="00001D3B">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C">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311,052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₱189,696,545.17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₱280,813,652.87</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₱427,379,069.92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eic6c1nus0tq" w:id="3"/>
      <w:bookmarkEnd w:id="3"/>
      <w:r w:rsidDel="00000000" w:rsidR="00000000" w:rsidRPr="00000000">
        <w:rPr>
          <w:rtl w:val="0"/>
        </w:rPr>
      </w:r>
    </w:p>
    <w:p w:rsidR="00000000" w:rsidDel="00000000" w:rsidP="00000000" w:rsidRDefault="00000000" w:rsidRPr="00000000" w14:paraId="00001D3E">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3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76" w:lineRule="auto"/>
              <w:rPr/>
            </w:pP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efefef" w:val="clear"/>
            <w:tcMar>
              <w:top w:w="0.0" w:type="dxa"/>
              <w:left w:w="40.0" w:type="dxa"/>
              <w:bottom w:w="0.0" w:type="dxa"/>
              <w:right w:w="40.0" w:type="dxa"/>
            </w:tcMar>
            <w:vAlign w:val="center"/>
          </w:tcPr>
          <w:p w:rsidR="00000000" w:rsidDel="00000000" w:rsidP="00000000" w:rsidRDefault="00000000" w:rsidRPr="00000000" w14:paraId="00001D4E">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299,664,042.16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311,052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189,696,545.17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280,813,652.87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427,379,069.92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1,197,553,310.12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B">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13,906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9,418,604.50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144,001,824.81</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123,357,223.48</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276,777,652.79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2">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11,595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7,212,090.00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25,544,573.30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35,599,173.30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9">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0">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28,089</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17,839,562.00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50,554,064.57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7">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955,038.04</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11,114</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5,650,730.19</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27,393,530.93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E">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10,550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6,989,362.10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3,339,784.40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75,031,171.63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5">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3,348,662.78</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47,199,253.50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C">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21,948</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11,023,864.83</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29,936,037.15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50,464,952.91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3">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14,816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7,210,473.01</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25,330,320.92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A">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1,537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814,610.00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16,783,741.85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38,030,134.46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1">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23,532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15,215,386.31</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14,367,536.87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37,518,396.18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8">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21,280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11,629,307.20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10,325,460.86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33,373,181.82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F">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12,223</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8,348,704.20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13,245,846.63</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50,131,618.15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6">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22,108</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12,789,478.00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8,740,942.00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42,933,120.80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D">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4">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37,385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24,098,098.00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6,389,222.20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36,663,288.25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B">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5,000,438.30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12,447,034.47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2">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30,790</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19,935,120.57</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48,233,404.47</w:t>
            </w:r>
            <w:r w:rsidDel="00000000" w:rsidR="00000000" w:rsidRPr="00000000">
              <w:rPr>
                <w:rtl w:val="0"/>
              </w:rPr>
            </w:r>
          </w:p>
        </w:tc>
      </w:tr>
    </w:tbl>
    <w:p w:rsidR="00000000" w:rsidDel="00000000" w:rsidP="00000000" w:rsidRDefault="00000000" w:rsidRPr="00000000" w14:paraId="00001DD9">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07 March 2022, 4PM. Replenishment of standby funds for DSWD-FO III is currently being processed. </w:t>
      </w:r>
    </w:p>
    <w:p w:rsidR="00000000" w:rsidDel="00000000" w:rsidP="00000000" w:rsidRDefault="00000000" w:rsidRPr="00000000" w14:paraId="00001DDA">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B">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18 February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2,257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₱4,065,500.00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04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5">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6">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DC">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5">
    <w:pPr>
      <w:spacing w:after="0" w:line="240" w:lineRule="auto"/>
      <w:ind w:left="720" w:hanging="720"/>
      <w:jc w:val="right"/>
      <w:rPr>
        <w:rFonts w:ascii="Arial" w:cs="Arial" w:eastAsia="Arial" w:hAnsi="Arial"/>
        <w:sz w:val="14"/>
        <w:szCs w:val="14"/>
      </w:rPr>
    </w:pPr>
    <w:bookmarkStart w:colFirst="0" w:colLast="0" w:name="_2et92p0" w:id="4"/>
    <w:bookmarkEnd w:id="4"/>
    <w:r w:rsidDel="00000000" w:rsidR="00000000" w:rsidRPr="00000000">
      <w:rPr>
        <w:rFonts w:ascii="Arial" w:cs="Arial" w:eastAsia="Arial" w:hAnsi="Arial"/>
        <w:sz w:val="14"/>
        <w:szCs w:val="14"/>
        <w:rtl w:val="0"/>
      </w:rPr>
      <w:t xml:space="preserve">DSWD DROMIC Report #975 on the Coronavirus Disease (COVID19) as of 07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DD">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DE">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DF">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0">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1">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