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#977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09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08 March 2022, 4PM</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3,668,710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47,687</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3,563,771</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57,072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A total of </w:t>
      </w:r>
      <w:r w:rsidDel="00000000" w:rsidR="00000000" w:rsidRPr="00000000">
        <w:rPr>
          <w:rFonts w:ascii="Arial" w:cs="Arial" w:eastAsia="Arial" w:hAnsi="Arial"/>
          <w:b w:val="1"/>
          <w:color w:val="0070c0"/>
          <w:sz w:val="24"/>
          <w:szCs w:val="24"/>
          <w:rtl w:val="0"/>
        </w:rPr>
        <w:t xml:space="preserve">₱3,540,724,569.67 </w:t>
      </w:r>
      <w:r w:rsidDel="00000000" w:rsidR="00000000" w:rsidRPr="00000000">
        <w:rPr>
          <w:rFonts w:ascii="Arial" w:cs="Arial" w:eastAsia="Arial" w:hAnsi="Arial"/>
          <w:color w:val="202124"/>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₱2,776,634,284.54</w:t>
      </w:r>
      <w:r w:rsidDel="00000000" w:rsidR="00000000" w:rsidRPr="00000000">
        <w:rPr>
          <w:rFonts w:ascii="Arial" w:cs="Arial" w:eastAsia="Arial" w:hAnsi="Arial"/>
          <w:color w:val="0070c0"/>
          <w:sz w:val="24"/>
          <w:szCs w:val="24"/>
          <w:rtl w:val="0"/>
        </w:rPr>
        <w:t xml:space="preserve"> </w:t>
      </w:r>
      <w:r w:rsidDel="00000000" w:rsidR="00000000" w:rsidRPr="00000000">
        <w:rPr>
          <w:rFonts w:ascii="Arial" w:cs="Arial" w:eastAsia="Arial" w:hAnsi="Arial"/>
          <w:color w:val="202124"/>
          <w:sz w:val="24"/>
          <w:szCs w:val="24"/>
          <w:rtl w:val="0"/>
        </w:rPr>
        <w:t xml:space="preserve">was provided by </w:t>
      </w:r>
      <w:r w:rsidDel="00000000" w:rsidR="00000000" w:rsidRPr="00000000">
        <w:rPr>
          <w:rFonts w:ascii="Arial" w:cs="Arial" w:eastAsia="Arial" w:hAnsi="Arial"/>
          <w:b w:val="1"/>
          <w:color w:val="0070c0"/>
          <w:sz w:val="24"/>
          <w:szCs w:val="24"/>
          <w:rtl w:val="0"/>
        </w:rPr>
        <w:t xml:space="preserve">DSWD</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₱732,239,875.17</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from </w:t>
      </w:r>
      <w:r w:rsidDel="00000000" w:rsidR="00000000" w:rsidRPr="00000000">
        <w:rPr>
          <w:rFonts w:ascii="Arial" w:cs="Arial" w:eastAsia="Arial" w:hAnsi="Arial"/>
          <w:b w:val="1"/>
          <w:color w:val="202124"/>
          <w:sz w:val="24"/>
          <w:szCs w:val="24"/>
          <w:rtl w:val="0"/>
        </w:rPr>
        <w:t xml:space="preserve">Non-Government Organizations (NGOs)</w:t>
      </w:r>
      <w:r w:rsidDel="00000000" w:rsidR="00000000" w:rsidRPr="00000000">
        <w:rPr>
          <w:rFonts w:ascii="Arial" w:cs="Arial" w:eastAsia="Arial" w:hAnsi="Arial"/>
          <w:color w:val="202124"/>
          <w:sz w:val="24"/>
          <w:szCs w:val="24"/>
          <w:rtl w:val="0"/>
        </w:rPr>
        <w:t xml:space="preserve">, and </w:t>
      </w:r>
      <w:r w:rsidDel="00000000" w:rsidR="00000000" w:rsidRPr="00000000">
        <w:rPr>
          <w:rFonts w:ascii="Arial" w:cs="Arial" w:eastAsia="Arial" w:hAnsi="Arial"/>
          <w:b w:val="1"/>
          <w:color w:val="202124"/>
          <w:sz w:val="24"/>
          <w:szCs w:val="24"/>
          <w:rtl w:val="0"/>
        </w:rPr>
        <w:t xml:space="preserve">₱31,850,409.96</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from </w:t>
      </w:r>
      <w:r w:rsidDel="00000000" w:rsidR="00000000" w:rsidRPr="00000000">
        <w:rPr>
          <w:rFonts w:ascii="Arial" w:cs="Arial" w:eastAsia="Arial" w:hAnsi="Arial"/>
          <w:b w:val="1"/>
          <w:color w:val="202124"/>
          <w:sz w:val="24"/>
          <w:szCs w:val="24"/>
          <w:rtl w:val="0"/>
        </w:rPr>
        <w:t xml:space="preserve">other Partners</w:t>
      </w:r>
      <w:r w:rsidDel="00000000" w:rsidR="00000000" w:rsidRPr="00000000">
        <w:rPr>
          <w:rFonts w:ascii="Arial" w:cs="Arial" w:eastAsia="Arial" w:hAnsi="Arial"/>
          <w:b w:val="1"/>
          <w:color w:val="202124"/>
          <w:sz w:val="20"/>
          <w:szCs w:val="20"/>
          <w:rtl w:val="0"/>
        </w:rPr>
        <w:t xml:space="preserve"> </w:t>
      </w:r>
      <w:r w:rsidDel="00000000" w:rsidR="00000000" w:rsidRPr="00000000">
        <w:rPr>
          <w:rFonts w:ascii="Arial" w:cs="Arial" w:eastAsia="Arial" w:hAnsi="Arial"/>
          <w:color w:val="202124"/>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2,776,634,284.54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3,540,724,569.67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602,202,895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967,612,894.58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101,252,983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101,252,983.04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71,542,359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113,642,358.89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24,733,158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30,983,158.00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23,616,686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60,124,185.64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78,657,902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116,100,402.00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26,419,824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32,919,823.70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68,603,245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127,453,245.00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146,300,587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146,300,586.70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61,960,259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61,960,258.60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1,069,273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1,069,273.32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54,288,699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54,288,698.55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2,923,974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2,923,973.66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19,572,104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19,572,103.84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12,391,194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12,391,193.51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94,972,918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98,049,867.86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23,617,544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25,063,293.88</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2,764,678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2,764,678.28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925,075.33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188,587.52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1,884,214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1,884,214.18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9,484,524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9,484,523.52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1,369,259.50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608,501.29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251,185.00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526,628.32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349,377.68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34,388,601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34,438,600.55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74,482.96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2,067,133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2,067,133.38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177,703.44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174,227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174,226.50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550,700.00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154,420.00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102,634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102,634.00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210,935,360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220,298,224.82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45,928,301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45,999,256.41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1,433,510.16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63,006,147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72,298,056.09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2,325,218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2,421,218.36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19,763,897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19,763,897.21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985,391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985,390.88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6">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₱1,202,666,845.95</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8">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9">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8"/>
          <w:szCs w:val="28"/>
        </w:rPr>
      </w:pPr>
      <w:r w:rsidDel="00000000" w:rsidR="00000000" w:rsidRPr="00000000">
        <w:rPr>
          <w:rFonts w:ascii="Arial" w:cs="Arial" w:eastAsia="Arial" w:hAnsi="Arial"/>
          <w:color w:val="202124"/>
          <w:sz w:val="24"/>
          <w:szCs w:val="24"/>
          <w:rtl w:val="0"/>
        </w:rPr>
        <w:t xml:space="preserve">A total of </w:t>
      </w:r>
      <w:r w:rsidDel="00000000" w:rsidR="00000000" w:rsidRPr="00000000">
        <w:rPr>
          <w:rFonts w:ascii="Arial" w:cs="Arial" w:eastAsia="Arial" w:hAnsi="Arial"/>
          <w:b w:val="1"/>
          <w:sz w:val="24"/>
          <w:szCs w:val="24"/>
          <w:rtl w:val="0"/>
        </w:rPr>
        <w:t xml:space="preserve">₱299,664,042.16 standby funds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02124"/>
          <w:sz w:val="24"/>
          <w:szCs w:val="24"/>
          <w:rtl w:val="0"/>
        </w:rPr>
        <w:t xml:space="preserve">in the CO and FOs. Of the said amount, </w:t>
      </w:r>
      <w:r w:rsidDel="00000000" w:rsidR="00000000" w:rsidRPr="00000000">
        <w:rPr>
          <w:rFonts w:ascii="Arial" w:cs="Arial" w:eastAsia="Arial" w:hAnsi="Arial"/>
          <w:color w:val="202124"/>
          <w:sz w:val="28"/>
          <w:szCs w:val="28"/>
          <w:rtl w:val="0"/>
        </w:rPr>
        <w:tab/>
      </w:r>
      <w:r w:rsidDel="00000000" w:rsidR="00000000" w:rsidRPr="00000000">
        <w:rPr>
          <w:rtl w:val="0"/>
        </w:rPr>
      </w:r>
    </w:p>
    <w:p w:rsidR="00000000" w:rsidDel="00000000" w:rsidP="00000000" w:rsidRDefault="00000000" w:rsidRPr="00000000" w14:paraId="00001D3A">
      <w:pP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₱225,485,399.00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303,869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₱185,768,989.93</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₱286,910,385.19</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₱430,323,428.67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000000"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000000"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000000"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000000"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000000"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000000"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d8d8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4F">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299,664,042.16</w:t>
            </w:r>
            <w:r w:rsidDel="00000000" w:rsidR="00000000" w:rsidRPr="00000000">
              <w:rPr>
                <w:rtl w:val="0"/>
              </w:rPr>
            </w:r>
          </w:p>
        </w:tc>
        <w:tc>
          <w:tcPr>
            <w:tcBorders>
              <w:top w:color="000000" w:space="0" w:sz="6" w:val="single"/>
              <w:left w:color="cccccc" w:space="0" w:sz="6" w:val="single"/>
              <w:bottom w:color="000000" w:space="0" w:sz="4"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0">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303,869</w:t>
            </w:r>
            <w:r w:rsidDel="00000000" w:rsidR="00000000" w:rsidRPr="00000000">
              <w:rPr>
                <w:rtl w:val="0"/>
              </w:rPr>
            </w:r>
          </w:p>
        </w:tc>
        <w:tc>
          <w:tcPr>
            <w:tcBorders>
              <w:top w:color="000000" w:space="0" w:sz="6" w:val="single"/>
              <w:left w:color="cccccc" w:space="0" w:sz="6" w:val="single"/>
              <w:bottom w:color="000000" w:space="0" w:sz="4"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1">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185,768,989.93</w:t>
            </w:r>
            <w:r w:rsidDel="00000000" w:rsidR="00000000" w:rsidRPr="00000000">
              <w:rPr>
                <w:rtl w:val="0"/>
              </w:rPr>
            </w:r>
          </w:p>
        </w:tc>
        <w:tc>
          <w:tcPr>
            <w:tcBorders>
              <w:top w:color="000000" w:space="0" w:sz="6" w:val="single"/>
              <w:left w:color="cccccc" w:space="0" w:sz="6" w:val="single"/>
              <w:bottom w:color="000000" w:space="0" w:sz="4"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2">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286,910,385.19</w:t>
            </w:r>
            <w:r w:rsidDel="00000000" w:rsidR="00000000" w:rsidRPr="00000000">
              <w:rPr>
                <w:rtl w:val="0"/>
              </w:rPr>
            </w:r>
          </w:p>
        </w:tc>
        <w:tc>
          <w:tcPr>
            <w:tcBorders>
              <w:top w:color="000000" w:space="0" w:sz="6" w:val="single"/>
              <w:left w:color="cccccc" w:space="0" w:sz="6" w:val="single"/>
              <w:bottom w:color="000000" w:space="0" w:sz="4"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3">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430,323,428.67</w:t>
            </w:r>
            <w:r w:rsidDel="00000000" w:rsidR="00000000" w:rsidRPr="00000000">
              <w:rPr>
                <w:rtl w:val="0"/>
              </w:rPr>
            </w:r>
          </w:p>
        </w:tc>
        <w:tc>
          <w:tcPr>
            <w:tcBorders>
              <w:top w:color="000000" w:space="0" w:sz="6" w:val="single"/>
              <w:left w:color="cccccc" w:space="0" w:sz="6" w:val="single"/>
              <w:bottom w:color="000000" w:space="0" w:sz="4"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4">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1,202,666,845.95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17,872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11,513,129.00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141,345,230.93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126,305,379.48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279,163,739.41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5,461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3,396,742.00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33,980,566.70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40,219,818.70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8,581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5,533,790.00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36,351,436.25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3,677,593.18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23,062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15,039,288.00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8,496,568.55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20,540,340.84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47,753,790.57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955,038.04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10,382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5,298,850.47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5,108,005.45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15,679,757.25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27,041,651.21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10,037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6,756,444.10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3,714,784.40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59,702,024.66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75,173,253.63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3,348,662.78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20,215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14,332,771.50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19,532,970.22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47,199,253.50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20,934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10,594,409.21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4,504,408.43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29,932,239.90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50,031,700.04</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14,816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7,210,473.01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283,291.20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12,835,895.29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25,330,320.92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5,000,500.00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814,610.00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16,783,741.85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15,431,282.61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38,030,134.46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23,532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15,256,562.31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2,935,473.00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14,367,536.87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37,559,572.18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21,280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11,629,307.20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6,418,413.76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10,325,460.86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33,373,181.82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14,007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9,634,997.80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14,359,599.43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22,343,749.82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52,531,664.55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22,609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13,079,306.50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7,569,522.00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16,402,700.80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42,051,529.30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19,452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10,580,350.00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8,667,855.00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23,787,000.87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48,036,175.72</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37,385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24,098,098.00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1,175,968.05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6,389,222.20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36,663,288.25</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5,000,438.30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12,447,034.47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30,776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19,925,618.07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3,563,832.64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19,733,632.14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48,223,901.97</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09 March 2022, 4PM. Replenishment of standby funds for DSWD-FO III is currently being processed. </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F">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F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1">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2">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6">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1">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2">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3">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18 February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D">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E">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F">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6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3">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4">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B">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C">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D">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4">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5">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C">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D">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E">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F">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4">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5">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7">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8">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2,257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₱4,065,500.00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D">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E">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F">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1">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3">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4">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C">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D">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E">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2">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3">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4">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9">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A">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D">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E">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B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1">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2">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3">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4">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9">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A">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D">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E">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C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1">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2">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3">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4">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9">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A">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D">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E">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5">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6">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7">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8">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9">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A">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B">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C">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D">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E">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0">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2">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4">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5">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03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C">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D">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E">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F">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F0">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1">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7">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8">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9">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A">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C">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D">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3">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4">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5">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r w:rsidDel="00000000" w:rsidR="00000000" w:rsidRPr="00000000">
              <w:rPr>
                <w:rtl w:val="0"/>
              </w:rPr>
            </w:r>
          </w:p>
          <w:p w:rsidR="00000000" w:rsidDel="00000000" w:rsidP="00000000" w:rsidRDefault="00000000" w:rsidRPr="00000000" w14:paraId="00001F0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B">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C">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F">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7">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8">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4">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5">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6">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7">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A">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1">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6">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7">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8">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9">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B">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2">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3">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7">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8">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8">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9">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B">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D">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B0">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1">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2">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3">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5">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7">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B">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D">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9">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C">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D">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E">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F">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2">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3">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6">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7">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8">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tc>
        <w:tc>
          <w:tcPr/>
          <w:p w:rsidR="00000000" w:rsidDel="00000000" w:rsidP="00000000" w:rsidRDefault="00000000" w:rsidRPr="00000000" w14:paraId="00001FDB">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D">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RODEL V. CABADDU</w:t>
            </w:r>
          </w:p>
        </w:tc>
      </w:tr>
    </w:tbl>
    <w:p w:rsidR="00000000" w:rsidDel="00000000" w:rsidP="00000000" w:rsidRDefault="00000000" w:rsidRPr="00000000" w14:paraId="00001FDE">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4">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5">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7">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#977 on the Coronavirus Disease (COVID19) as of 09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DF">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0">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1">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2">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3">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