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#979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11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10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3,668,940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47,173</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3,564,509</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57,258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₱3,541,057,719.14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₱2,776,967,434.01</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2,776,967,434.01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3,541,057,719.14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604,055,577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969,465,576.58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143,789,500.70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12,146,583.51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decrease in the actual cost of assistance provided in the provinces of Cagayan and Isabela is based on the data validation conducted by DSWD-FO II on 10 March 2022, 4PM. </w:t>
      </w:r>
    </w:p>
    <w:p w:rsidR="00000000" w:rsidDel="00000000" w:rsidP="00000000" w:rsidRDefault="00000000" w:rsidRPr="00000000" w14:paraId="00001D33">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4">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5">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8">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9">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A">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B">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C">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D">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E">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F">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40">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2">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₱1,205,001,623.10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43">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44">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45">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₱299,286,211.16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46">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47">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4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323,931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₱200,857,874.45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₱274,492,403.55</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₱430,365,133.94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4A">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B">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0">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3">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76" w:lineRule="auto"/>
              <w:rPr/>
            </w:pP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7">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9">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000000"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A">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323,931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200,857,874.45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274,492,403.55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430,365,133.94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1,205,001,623.10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1">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8">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7,751,007.00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138,624,397.24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126,612,369.48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272,987,773.72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F">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2,525,942.00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24,243,256.70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29,611,708.70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6">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D">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4">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5,295,966.21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32,038,766.95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B">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6,756,444.10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75,173,253.63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2">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46,749,253.50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9">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10,594,409.21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29,932,239.90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50,031,700.04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0">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7,100,273.01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25,220,120.92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7">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537,950.00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16,116,494.50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37,086,227.11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E">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15,234,805.11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32,600,388.98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5">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C">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10,520,472.10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15,067,008.83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54,124,548.25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3">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13,079,306.50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7,569,522.00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42,051,529.30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A">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1">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62,680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42,743,420.00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6,496,517.20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55,415,905.25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8">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F">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19,835,049.25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48,133,333.15</w:t>
            </w:r>
            <w:r w:rsidDel="00000000" w:rsidR="00000000" w:rsidRPr="00000000">
              <w:rPr>
                <w:rtl w:val="0"/>
              </w:rPr>
            </w:r>
          </w:p>
        </w:tc>
      </w:tr>
    </w:tbl>
    <w:p w:rsidR="00000000" w:rsidDel="00000000" w:rsidP="00000000" w:rsidRDefault="00000000" w:rsidRPr="00000000" w14:paraId="00001DE6">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11 March 2022, 4PM. Replenishment of standby funds for DSWD-FO VIII is currently being processed. </w:t>
      </w:r>
    </w:p>
    <w:p w:rsidR="00000000" w:rsidDel="00000000" w:rsidP="00000000" w:rsidRDefault="00000000" w:rsidRPr="00000000" w14:paraId="00001DE7">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8">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9">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A">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F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F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F">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6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6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6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6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7">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C">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E">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A">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D">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E">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F">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8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8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8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8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8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B">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C">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9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9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9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9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5">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C">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A0">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A1">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5">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A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A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D">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B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B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B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A">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B">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C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C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C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A">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B">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D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D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D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D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D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E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E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E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E3">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E4">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E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E6">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E7">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A">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B">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F0">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F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F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F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F0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F0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F0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F0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0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1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1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1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1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1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1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17">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8">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9">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C">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70">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1">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75">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7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8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8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8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8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8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8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9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9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9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9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95">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96">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A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A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A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A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A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A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B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B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B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B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B5">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A">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E">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F">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C0">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C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C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C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C4">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C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C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C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8">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D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D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D7">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B">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C">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D">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E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E1">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E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E3">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E4">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E5">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E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E9">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E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D">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3">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4">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5">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F6">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#979 on the Coronavirus Disease (COVID19) as of 11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F">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F0">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1">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2">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