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#986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18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17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3,672,661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45,394</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3,569,387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57,880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₱3,546,543,316.14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₱1,278,981,683.44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₱307,617,911.20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color w:val="0070c0"/>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b w:val="1"/>
          <w:color w:val="0070c0"/>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364,312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₱228,620,679.97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₱291,465,621.83</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₱451,277,470.44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307,617,911.20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364,312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228,620,679.97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291,465,621.83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451,277,470.44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1,278,981,683.44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14,904,105.00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143,142,681.66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138,463,665.48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296,510,452.14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9,031,440.00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22,457,775.50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34,331,725.50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14,941,514.50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7,247,118.05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27,044,881.86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54,233,514.41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4,404,154.05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30,678,499.38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74,799,255.63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15,772,660.60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50,290,479.82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9,331,298.14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4,923,603.95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49,182,514.24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6,989,661.01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24,654,621.92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37,480,954.98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15,640,738.50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20,187,275.23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64,227,801.05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16,204,227.00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49,412,377.30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8,951,850.00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46,407,675.72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71,541,344.85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30,149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19,529,660.50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3,552,807.34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49,463,400.23</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18 March 2022, 4PM.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#986 on the Coronavirus Disease (COVID19) as of 18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