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20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19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3,673,717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45,339</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3,570,355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58,023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₱1,278,226,477.80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tl w:val="0"/>
        </w:rPr>
        <w:t xml:space="preserve">₱307,617,911.20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363,956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₱228,371,130.65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sz w:val="24"/>
          <w:szCs w:val="24"/>
          <w:rtl w:val="0"/>
        </w:rPr>
        <w:t xml:space="preserve">other foo</w:t>
      </w:r>
      <w:r w:rsidDel="00000000" w:rsidR="00000000" w:rsidRPr="00000000">
        <w:rPr>
          <w:rFonts w:ascii="Arial" w:cs="Arial" w:eastAsia="Arial" w:hAnsi="Arial"/>
          <w:b w:val="1"/>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₱291,465,621.83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₱450,771,814.12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307,617,911.20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363,956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228,371,130.65</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291,465,621.83</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450,771,814.12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1,278,226,477.80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24,965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14,904,105.00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143,142,681.66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140,909,675.48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298,956,462.14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9,031,440.00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22,457,775.50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34,331,725.50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14,941,514.50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7,247,118.05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27,044,881.86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54,233,514.41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8,532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4,404,154.05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30,678,499.38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74,799,255.63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21,864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15,523,111.28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47,089,264.18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9,331,298.14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4,923,603.95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49,182,514.24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6,989,661.01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24,654,621.92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37,480,954.98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22,139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15,640,738.50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20,187,275.23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64,227,801.05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16,204,227.00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49,412,377.30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8,951,850.00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46,407,675.72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71,541,344.85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30,149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19,529,660.50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3,552,807.34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49,463,400.23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19 March 2022, 4PM. </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JOANNA CAMILLE R. JACINTO</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#988 on the Coronavirus Disease (COVID19) as of 20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