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#990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22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21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3,674,694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45,021</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3,571,397</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58,276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₱3,546,543,316.14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₱2,782,453,031.01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2,782,453,031.01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3,546,543,316.14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₱1,286,470,624.02</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color w:val="0070c0"/>
          <w:sz w:val="24"/>
          <w:szCs w:val="24"/>
          <w:rtl w:val="0"/>
        </w:rPr>
        <w:t xml:space="preserve">₱302,617,411.20 standby funds</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₱225,485,399.00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393,434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₱252,121,521.06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₱279,265,892.50</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₱452,465,799.26</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302,617,411.20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393,434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252,121,521.06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279,265,892.50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452,465,799.26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1,286,470,624.02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27,152,205.00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126,319,141.19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141,806,406.98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295,277,753.17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13,972,608.00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22,815,139.50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39,630,257.50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25,198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16,303,262.50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9,407,518.85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27,042,235.50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57,753,016.85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4,395,684.45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30,670,029.78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6,577,152.10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74,622,639.63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23,040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16,348,364.78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47,914,517.68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20,660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10,395,168.94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4,546,679.13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49,869,460.22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5,802,161.01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13,137,008.29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24,613,533.12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34,018,989.46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4,006,345.00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38,551,826.98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26,474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18,811,465.96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23,358,002.69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70,569,255.97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13,540,949.50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14,297,127.00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49,284,677.30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8,951,850.00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46,407,675.72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71,541,344.85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19,306,268.75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3,310,867.84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48,998,068.98</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22 March 2022, 4PM. Replenishment of standby funds for DSWD-FO VII is in process.</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#990 on the Coronavirus Disease (COVID19) as of 22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