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#993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25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24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3,675,821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44,573</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3,572,477</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58,771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₱3,547,623,564.70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₱2,783,533,279.57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2,783,533,279.57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3,547,623,564.70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₱1,143,388,417.03</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A total</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sz w:val="24"/>
          <w:szCs w:val="24"/>
          <w:rtl w:val="0"/>
        </w:rPr>
        <w:t xml:space="preserve">₱150,766,477.19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₱68,634,464.99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469,837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₱297,201,331.62</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₱246,230,440.75</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₱449,190,167.47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150,766,477.19</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fe2f3"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469,837</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fe2f3"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297,201,331.62</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fe2f3"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246,230,440.75</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cfe2f3"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449,190,167.47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fe2f3"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1,143,388,417.03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63,875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39,373,675.00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106,140,768.78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139,352,714.48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284,867,158.26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32,987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20,517,914.00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9,693,643.00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33,054,067.00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24,375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15,873,162.50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8,818,298.28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27,017,335.50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56,708,796.28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4,375,003.49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30,649,348.82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6,577,152.10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3,706,318.40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74,614,173.63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15,017,918.49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46,584,071.39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21,497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10,785,175.56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4,767,698.85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50,480,486.56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10,861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5,290,328.75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673,702.40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13,137,008.29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24,101,700.86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39,018,989.46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23,290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15,069,877.35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38,594,536.72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30,273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21,659,947.91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26,206,484.64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22,146,747.82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76,206,497.87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20,107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11,631,899.50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14,297,127.00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47,375,627.30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15,991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8,698,300.00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45,986,341.78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121,029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82,348,374.44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96,715,444.29</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30,006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19,303,546.25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3,244,930.24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48,929,408.88</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25 March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#993 on the Coronavirus Disease (COVID19) as of 25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