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BB0C" w14:textId="77777777" w:rsidR="003C477D" w:rsidRPr="009875BA" w:rsidRDefault="003C477D" w:rsidP="009875B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9875BA">
        <w:rPr>
          <w:rFonts w:ascii="Arial" w:hAnsi="Arial" w:cs="Arial"/>
          <w:b/>
          <w:sz w:val="32"/>
          <w:szCs w:val="24"/>
        </w:rPr>
        <w:t xml:space="preserve">DSWD DROMIC Report #1 on the </w:t>
      </w:r>
    </w:p>
    <w:p w14:paraId="7AF16C48" w14:textId="09B0BEEA" w:rsidR="002E5683" w:rsidRPr="009875BA" w:rsidRDefault="003C477D" w:rsidP="009875B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9875BA">
        <w:rPr>
          <w:rFonts w:ascii="Arial" w:hAnsi="Arial" w:cs="Arial"/>
          <w:b/>
          <w:sz w:val="32"/>
          <w:szCs w:val="24"/>
        </w:rPr>
        <w:t xml:space="preserve">Effects of Intertropical Convergence Zone (ITCZ) </w:t>
      </w:r>
    </w:p>
    <w:p w14:paraId="5475333E" w14:textId="3A221F20" w:rsidR="00F71FAA" w:rsidRPr="009875BA" w:rsidRDefault="003C477D" w:rsidP="009875BA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875BA">
        <w:rPr>
          <w:rFonts w:ascii="Arial" w:eastAsia="Arial" w:hAnsi="Arial" w:cs="Arial"/>
          <w:sz w:val="24"/>
          <w:szCs w:val="24"/>
        </w:rPr>
        <w:t>as of 06 April, 2022, 6PM</w:t>
      </w:r>
      <w:r w:rsidR="007E644E" w:rsidRPr="009875BA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9875BA" w:rsidRDefault="00261A8B" w:rsidP="009875B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875BA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9875BA" w:rsidRDefault="000E7EC3" w:rsidP="009875B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3576BCF5" w:rsidR="008A1B50" w:rsidRPr="009875BA" w:rsidRDefault="000835E9" w:rsidP="009875BA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9875BA">
        <w:rPr>
          <w:rFonts w:ascii="Arial" w:hAnsi="Arial" w:cs="Arial"/>
          <w:sz w:val="24"/>
          <w:szCs w:val="24"/>
          <w:lang w:val="en-US"/>
        </w:rPr>
        <w:t xml:space="preserve">Issued </w:t>
      </w:r>
      <w:r w:rsidR="000413D7" w:rsidRPr="009875BA">
        <w:rPr>
          <w:rFonts w:ascii="Arial" w:hAnsi="Arial" w:cs="Arial"/>
          <w:sz w:val="24"/>
          <w:szCs w:val="24"/>
          <w:lang w:val="en-US"/>
        </w:rPr>
        <w:t xml:space="preserve">on </w:t>
      </w:r>
      <w:r w:rsidRPr="009875BA">
        <w:rPr>
          <w:rFonts w:ascii="Arial" w:hAnsi="Arial" w:cs="Arial"/>
          <w:sz w:val="24"/>
          <w:szCs w:val="24"/>
          <w:lang w:val="en-US"/>
        </w:rPr>
        <w:t>03 April 2022</w:t>
      </w:r>
      <w:r w:rsidR="000413D7" w:rsidRPr="009875BA">
        <w:rPr>
          <w:rFonts w:ascii="Arial" w:hAnsi="Arial" w:cs="Arial"/>
          <w:sz w:val="24"/>
          <w:szCs w:val="24"/>
          <w:lang w:val="en-US"/>
        </w:rPr>
        <w:t xml:space="preserve"> at 4PM,</w:t>
      </w:r>
      <w:r w:rsidRPr="009875BA">
        <w:rPr>
          <w:rFonts w:ascii="Arial" w:hAnsi="Arial" w:cs="Arial"/>
          <w:sz w:val="24"/>
          <w:szCs w:val="24"/>
          <w:lang w:val="en-US"/>
        </w:rPr>
        <w:t xml:space="preserve"> the Intertropical Convergence Zone (ITCZ) affecting Southern Mindanao brought cloudy skies with scattered rain showers and thunderstorms. </w:t>
      </w:r>
    </w:p>
    <w:p w14:paraId="331E47E9" w14:textId="773761CB" w:rsidR="00E0043D" w:rsidRPr="009875BA" w:rsidRDefault="007E644E" w:rsidP="009875BA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9875BA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C24AF7" w:rsidRPr="009875BA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681CD1" w:rsidRPr="009875BA">
        <w:rPr>
          <w:rFonts w:ascii="Arial" w:eastAsia="Arial" w:hAnsi="Arial" w:cs="Arial"/>
          <w:i/>
          <w:color w:val="0070C0"/>
          <w:sz w:val="16"/>
          <w:szCs w:val="24"/>
        </w:rPr>
        <w:t xml:space="preserve">DOST-PAGASA Weather </w:t>
      </w:r>
      <w:r w:rsidR="006F5C16" w:rsidRPr="009875BA">
        <w:rPr>
          <w:rFonts w:ascii="Arial" w:eastAsia="Arial" w:hAnsi="Arial" w:cs="Arial"/>
          <w:i/>
          <w:color w:val="0070C0"/>
          <w:sz w:val="16"/>
          <w:szCs w:val="24"/>
        </w:rPr>
        <w:t>Bulletin</w:t>
      </w:r>
    </w:p>
    <w:p w14:paraId="251F5F62" w14:textId="77777777" w:rsidR="00261A8B" w:rsidRPr="009875BA" w:rsidRDefault="00261A8B" w:rsidP="009875BA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9875BA" w:rsidRDefault="00261A8B" w:rsidP="009875B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875BA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9875BA" w:rsidRDefault="000E7EC3" w:rsidP="009875BA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04910CD2" w:rsidR="00E0043D" w:rsidRPr="009875BA" w:rsidRDefault="00E0043D" w:rsidP="009875B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875BA">
        <w:rPr>
          <w:rFonts w:ascii="Arial" w:eastAsia="Arial" w:hAnsi="Arial" w:cs="Arial"/>
          <w:sz w:val="24"/>
          <w:szCs w:val="24"/>
        </w:rPr>
        <w:t xml:space="preserve">A total of </w:t>
      </w:r>
      <w:r w:rsidR="000835E9"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274 </w:t>
      </w:r>
      <w:r w:rsidRPr="009875B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sz w:val="24"/>
          <w:szCs w:val="24"/>
        </w:rPr>
        <w:t>or</w:t>
      </w:r>
      <w:r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="009F22FE" w:rsidRPr="009875BA">
        <w:rPr>
          <w:rFonts w:ascii="Arial" w:eastAsia="Arial" w:hAnsi="Arial" w:cs="Arial"/>
          <w:b/>
          <w:color w:val="0070C0"/>
          <w:sz w:val="24"/>
          <w:szCs w:val="24"/>
        </w:rPr>
        <w:t>942</w:t>
      </w:r>
      <w:r w:rsidR="0078059F"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9875BA">
        <w:rPr>
          <w:rFonts w:ascii="Arial" w:eastAsia="Arial" w:hAnsi="Arial" w:cs="Arial"/>
          <w:sz w:val="24"/>
          <w:szCs w:val="24"/>
        </w:rPr>
        <w:t>are</w:t>
      </w:r>
      <w:r w:rsidRPr="009875BA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9875BA">
        <w:rPr>
          <w:rFonts w:ascii="Arial" w:eastAsia="Arial" w:hAnsi="Arial" w:cs="Arial"/>
          <w:sz w:val="24"/>
          <w:szCs w:val="24"/>
        </w:rPr>
        <w:t xml:space="preserve">in </w:t>
      </w:r>
      <w:r w:rsidR="000413D7" w:rsidRPr="009875BA">
        <w:rPr>
          <w:rFonts w:ascii="Arial" w:eastAsia="Arial" w:hAnsi="Arial" w:cs="Arial"/>
          <w:b/>
          <w:color w:val="0070C0"/>
          <w:sz w:val="24"/>
          <w:szCs w:val="24"/>
        </w:rPr>
        <w:t>4 Barangays</w:t>
      </w:r>
      <w:r w:rsidR="000413D7" w:rsidRPr="009875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413D7" w:rsidRPr="009875BA">
        <w:rPr>
          <w:rFonts w:ascii="Arial" w:eastAsia="Arial" w:hAnsi="Arial" w:cs="Arial"/>
          <w:sz w:val="24"/>
          <w:szCs w:val="24"/>
        </w:rPr>
        <w:t xml:space="preserve">in </w:t>
      </w:r>
      <w:r w:rsidR="00E938A7" w:rsidRPr="009875BA">
        <w:rPr>
          <w:rFonts w:ascii="Arial" w:eastAsia="Arial" w:hAnsi="Arial" w:cs="Arial"/>
          <w:b/>
          <w:bCs/>
          <w:color w:val="0070C0"/>
          <w:sz w:val="24"/>
          <w:szCs w:val="24"/>
        </w:rPr>
        <w:t>Region XI</w:t>
      </w:r>
      <w:r w:rsidR="00AE2899" w:rsidRPr="009875B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9875BA" w:rsidRDefault="00E0043D" w:rsidP="009875B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9875BA" w:rsidRDefault="00E0043D" w:rsidP="009875BA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9875BA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4448"/>
        <w:gridCol w:w="1887"/>
        <w:gridCol w:w="1232"/>
        <w:gridCol w:w="1223"/>
      </w:tblGrid>
      <w:tr w:rsidR="000835E9" w:rsidRPr="009875BA" w14:paraId="56DEB563" w14:textId="77777777" w:rsidTr="000835E9">
        <w:trPr>
          <w:trHeight w:val="20"/>
        </w:trPr>
        <w:tc>
          <w:tcPr>
            <w:tcW w:w="2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8B8AB" w14:textId="77777777" w:rsidR="000835E9" w:rsidRPr="009875BA" w:rsidRDefault="000835E9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14346" w14:textId="77777777" w:rsidR="000835E9" w:rsidRPr="009875BA" w:rsidRDefault="000835E9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0835E9" w:rsidRPr="009875BA" w14:paraId="5CDD4680" w14:textId="77777777" w:rsidTr="000835E9">
        <w:trPr>
          <w:trHeight w:val="20"/>
        </w:trPr>
        <w:tc>
          <w:tcPr>
            <w:tcW w:w="2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415" w14:textId="77777777" w:rsidR="000835E9" w:rsidRPr="009875BA" w:rsidRDefault="000835E9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CAFF" w14:textId="77777777" w:rsidR="000835E9" w:rsidRPr="009875BA" w:rsidRDefault="000835E9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66BBB" w14:textId="77777777" w:rsidR="000835E9" w:rsidRPr="009875BA" w:rsidRDefault="000835E9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FCFA2" w14:textId="77777777" w:rsidR="000835E9" w:rsidRPr="009875BA" w:rsidRDefault="000835E9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0835E9" w:rsidRPr="009875BA" w14:paraId="0B28F5D3" w14:textId="77777777" w:rsidTr="000835E9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9C501" w14:textId="77777777" w:rsidR="000835E9" w:rsidRPr="009875BA" w:rsidRDefault="000835E9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7AA62" w14:textId="31E99E17" w:rsidR="000835E9" w:rsidRPr="009875BA" w:rsidRDefault="000835E9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01E1B" w14:textId="4179202E" w:rsidR="000835E9" w:rsidRPr="009875BA" w:rsidRDefault="000835E9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FEDF6" w14:textId="290CC964" w:rsidR="000835E9" w:rsidRPr="009875BA" w:rsidRDefault="000835E9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942 </w:t>
            </w:r>
          </w:p>
        </w:tc>
      </w:tr>
      <w:tr w:rsidR="000835E9" w:rsidRPr="009875BA" w14:paraId="2339ACA0" w14:textId="77777777" w:rsidTr="000835E9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B5214" w14:textId="77777777" w:rsidR="000835E9" w:rsidRPr="009875BA" w:rsidRDefault="000835E9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10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8AC78" w14:textId="7028C0DB" w:rsidR="000835E9" w:rsidRPr="009875BA" w:rsidRDefault="000835E9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D6450" w14:textId="7048240E" w:rsidR="000835E9" w:rsidRPr="009875BA" w:rsidRDefault="000835E9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E4068" w14:textId="0E0F8A81" w:rsidR="000835E9" w:rsidRPr="009875BA" w:rsidRDefault="000835E9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942 </w:t>
            </w:r>
          </w:p>
        </w:tc>
      </w:tr>
      <w:tr w:rsidR="000835E9" w:rsidRPr="009875BA" w14:paraId="321D24B5" w14:textId="77777777" w:rsidTr="000835E9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03D9B" w14:textId="77777777" w:rsidR="000835E9" w:rsidRPr="009875BA" w:rsidRDefault="000835E9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 Oro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84815" w14:textId="5759DAA2" w:rsidR="000835E9" w:rsidRPr="009875BA" w:rsidRDefault="000835E9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259AB" w14:textId="79CCB42E" w:rsidR="000835E9" w:rsidRPr="009875BA" w:rsidRDefault="000835E9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274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6E1B1" w14:textId="74E68CFC" w:rsidR="000835E9" w:rsidRPr="009875BA" w:rsidRDefault="000835E9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942 </w:t>
            </w:r>
          </w:p>
        </w:tc>
      </w:tr>
      <w:tr w:rsidR="000835E9" w:rsidRPr="009875BA" w14:paraId="1B3BF070" w14:textId="77777777" w:rsidTr="000835E9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612B1" w14:textId="77777777" w:rsidR="000835E9" w:rsidRPr="009875BA" w:rsidRDefault="000835E9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7C919" w14:textId="77777777" w:rsidR="000835E9" w:rsidRPr="009875BA" w:rsidRDefault="000835E9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Mawab</w:t>
            </w:r>
            <w:proofErr w:type="spellEnd"/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A91C9" w14:textId="2ECB99CB" w:rsidR="000835E9" w:rsidRPr="009875BA" w:rsidRDefault="000835E9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78D5B" w14:textId="1FDB68B5" w:rsidR="000835E9" w:rsidRPr="009875BA" w:rsidRDefault="000835E9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274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6C4E3" w14:textId="1F347659" w:rsidR="000835E9" w:rsidRPr="009875BA" w:rsidRDefault="000835E9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942 </w:t>
            </w:r>
          </w:p>
        </w:tc>
      </w:tr>
    </w:tbl>
    <w:p w14:paraId="0AB8D380" w14:textId="428D4C49" w:rsidR="004E2C60" w:rsidRPr="009875BA" w:rsidRDefault="00DE33C6" w:rsidP="009875BA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E2C60" w:rsidRPr="009875BA">
        <w:rPr>
          <w:rFonts w:ascii="Arial" w:hAnsi="Arial" w:cs="Arial"/>
          <w:bCs/>
          <w:i/>
          <w:iCs/>
          <w:sz w:val="16"/>
          <w:szCs w:val="24"/>
        </w:rPr>
        <w:t xml:space="preserve">. </w:t>
      </w:r>
    </w:p>
    <w:p w14:paraId="0DFF31BA" w14:textId="2514BD28" w:rsidR="00D41206" w:rsidRPr="009875BA" w:rsidRDefault="00D41206" w:rsidP="009875B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9875BA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9875BA">
        <w:rPr>
          <w:rFonts w:ascii="Arial" w:eastAsia="Arial" w:hAnsi="Arial" w:cs="Arial"/>
          <w:i/>
          <w:color w:val="0070C0"/>
          <w:sz w:val="16"/>
        </w:rPr>
        <w:t>S</w:t>
      </w:r>
      <w:r w:rsidR="000413D7" w:rsidRPr="009875BA">
        <w:rPr>
          <w:rFonts w:ascii="Arial" w:eastAsia="Arial" w:hAnsi="Arial" w:cs="Arial"/>
          <w:i/>
          <w:color w:val="0070C0"/>
          <w:sz w:val="16"/>
        </w:rPr>
        <w:t>ource: DSWD-Field Office (</w:t>
      </w:r>
      <w:r w:rsidR="005C3D96" w:rsidRPr="009875BA">
        <w:rPr>
          <w:rFonts w:ascii="Arial" w:eastAsia="Arial" w:hAnsi="Arial" w:cs="Arial"/>
          <w:i/>
          <w:color w:val="0070C0"/>
          <w:sz w:val="16"/>
        </w:rPr>
        <w:t>FO</w:t>
      </w:r>
      <w:r w:rsidR="000413D7" w:rsidRPr="009875BA">
        <w:rPr>
          <w:rFonts w:ascii="Arial" w:eastAsia="Arial" w:hAnsi="Arial" w:cs="Arial"/>
          <w:i/>
          <w:color w:val="0070C0"/>
          <w:sz w:val="16"/>
        </w:rPr>
        <w:t>)</w:t>
      </w:r>
      <w:r w:rsidR="005C3D96" w:rsidRPr="009875BA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0148B2" w:rsidRPr="009875BA">
        <w:rPr>
          <w:rFonts w:ascii="Arial" w:eastAsia="Arial" w:hAnsi="Arial" w:cs="Arial"/>
          <w:i/>
          <w:color w:val="0070C0"/>
          <w:sz w:val="16"/>
        </w:rPr>
        <w:t>XI</w:t>
      </w:r>
    </w:p>
    <w:p w14:paraId="181C03E8" w14:textId="77777777" w:rsidR="00FB39FA" w:rsidRPr="009875BA" w:rsidRDefault="00FB39FA" w:rsidP="009875B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9875BA" w:rsidRDefault="00261A8B" w:rsidP="009875B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875BA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9875BA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9875BA" w:rsidRDefault="006B353A" w:rsidP="009875BA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9875BA" w:rsidRDefault="00524481" w:rsidP="009875BA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75BA">
        <w:rPr>
          <w:rFonts w:ascii="Arial" w:hAnsi="Arial" w:cs="Arial"/>
          <w:b/>
          <w:sz w:val="24"/>
          <w:szCs w:val="24"/>
        </w:rPr>
        <w:t>In</w:t>
      </w:r>
      <w:r w:rsidR="00CE0198" w:rsidRPr="009875BA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672C2BB5" w:rsidR="00524481" w:rsidRPr="009875BA" w:rsidRDefault="005C3D96" w:rsidP="009875B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9875BA">
        <w:rPr>
          <w:rFonts w:ascii="Arial" w:hAnsi="Arial" w:cs="Arial"/>
          <w:sz w:val="24"/>
          <w:szCs w:val="24"/>
        </w:rPr>
        <w:t>There are</w:t>
      </w:r>
      <w:r w:rsidR="00567E9B" w:rsidRPr="009875BA">
        <w:rPr>
          <w:rFonts w:ascii="Arial" w:hAnsi="Arial" w:cs="Arial"/>
          <w:sz w:val="24"/>
          <w:szCs w:val="24"/>
        </w:rPr>
        <w:t xml:space="preserve"> </w:t>
      </w:r>
      <w:r w:rsidR="0083131A" w:rsidRPr="009875BA">
        <w:rPr>
          <w:rFonts w:ascii="Arial" w:eastAsia="Arial" w:hAnsi="Arial" w:cs="Arial"/>
          <w:b/>
          <w:color w:val="0070C0"/>
          <w:sz w:val="24"/>
          <w:szCs w:val="24"/>
        </w:rPr>
        <w:t>six (6)</w:t>
      </w:r>
      <w:r w:rsidR="00AE2899"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9875BA">
        <w:rPr>
          <w:rFonts w:ascii="Arial" w:eastAsia="Arial" w:hAnsi="Arial" w:cs="Arial"/>
          <w:sz w:val="24"/>
          <w:szCs w:val="24"/>
        </w:rPr>
        <w:t>or</w:t>
      </w:r>
      <w:r w:rsidR="00B220D2"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3131A" w:rsidRPr="009875BA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Pr="009875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9875B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9875B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5BA">
        <w:rPr>
          <w:rFonts w:ascii="Arial" w:eastAsia="Arial" w:hAnsi="Arial" w:cs="Arial"/>
          <w:sz w:val="24"/>
          <w:szCs w:val="24"/>
        </w:rPr>
        <w:t>currently taking temporary shelter</w:t>
      </w:r>
      <w:r w:rsidR="00A61041" w:rsidRPr="009875BA">
        <w:rPr>
          <w:rFonts w:ascii="Arial" w:hAnsi="Arial" w:cs="Arial"/>
          <w:sz w:val="24"/>
          <w:szCs w:val="24"/>
        </w:rPr>
        <w:t xml:space="preserve"> </w:t>
      </w:r>
      <w:r w:rsidR="00BA1AF5" w:rsidRPr="009875BA">
        <w:rPr>
          <w:rFonts w:ascii="Arial" w:hAnsi="Arial" w:cs="Arial"/>
          <w:b/>
          <w:color w:val="0070C0"/>
          <w:sz w:val="24"/>
          <w:szCs w:val="24"/>
        </w:rPr>
        <w:t xml:space="preserve">at the </w:t>
      </w:r>
      <w:r w:rsidR="000413D7" w:rsidRPr="009875BA">
        <w:rPr>
          <w:rFonts w:ascii="Arial" w:hAnsi="Arial" w:cs="Arial"/>
          <w:b/>
          <w:color w:val="0070C0"/>
          <w:sz w:val="24"/>
          <w:szCs w:val="24"/>
        </w:rPr>
        <w:t xml:space="preserve">Barangay </w:t>
      </w:r>
      <w:proofErr w:type="spellStart"/>
      <w:r w:rsidR="000413D7" w:rsidRPr="009875BA">
        <w:rPr>
          <w:rFonts w:ascii="Arial" w:hAnsi="Arial" w:cs="Arial"/>
          <w:b/>
          <w:color w:val="0070C0"/>
          <w:sz w:val="24"/>
          <w:szCs w:val="24"/>
        </w:rPr>
        <w:t>Malinawon</w:t>
      </w:r>
      <w:proofErr w:type="spellEnd"/>
      <w:r w:rsidR="000413D7" w:rsidRPr="009875BA">
        <w:rPr>
          <w:rFonts w:ascii="Arial" w:hAnsi="Arial" w:cs="Arial"/>
          <w:b/>
          <w:color w:val="0070C0"/>
          <w:sz w:val="24"/>
          <w:szCs w:val="24"/>
        </w:rPr>
        <w:t xml:space="preserve"> Gymnasium </w:t>
      </w:r>
      <w:r w:rsidR="000413D7" w:rsidRPr="009875BA">
        <w:rPr>
          <w:rFonts w:ascii="Arial" w:hAnsi="Arial" w:cs="Arial"/>
          <w:sz w:val="24"/>
          <w:szCs w:val="24"/>
        </w:rPr>
        <w:t>in</w:t>
      </w:r>
      <w:r w:rsidR="000413D7" w:rsidRPr="009875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1AF5" w:rsidRPr="009875BA">
        <w:rPr>
          <w:rFonts w:ascii="Arial" w:hAnsi="Arial" w:cs="Arial"/>
          <w:b/>
          <w:color w:val="0070C0"/>
          <w:sz w:val="24"/>
          <w:szCs w:val="24"/>
        </w:rPr>
        <w:t>Mawab</w:t>
      </w:r>
      <w:proofErr w:type="spellEnd"/>
      <w:r w:rsidR="00BA1AF5" w:rsidRPr="009875BA">
        <w:rPr>
          <w:rFonts w:ascii="Arial" w:hAnsi="Arial" w:cs="Arial"/>
          <w:b/>
          <w:color w:val="0070C0"/>
          <w:sz w:val="24"/>
          <w:szCs w:val="24"/>
        </w:rPr>
        <w:t xml:space="preserve">, Davao De Oro </w:t>
      </w:r>
      <w:r w:rsidR="00A61041" w:rsidRPr="009875BA">
        <w:rPr>
          <w:rFonts w:ascii="Arial" w:hAnsi="Arial" w:cs="Arial"/>
          <w:sz w:val="24"/>
          <w:szCs w:val="24"/>
        </w:rPr>
        <w:t>(</w:t>
      </w:r>
      <w:r w:rsidR="00524481" w:rsidRPr="009875BA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9875BA" w:rsidRDefault="00524481" w:rsidP="009875BA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9875BA" w:rsidRDefault="00524481" w:rsidP="009875BA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9875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9875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8" w:type="pct"/>
        <w:tblInd w:w="1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2832"/>
        <w:gridCol w:w="957"/>
        <w:gridCol w:w="958"/>
        <w:gridCol w:w="957"/>
        <w:gridCol w:w="958"/>
        <w:gridCol w:w="957"/>
        <w:gridCol w:w="957"/>
      </w:tblGrid>
      <w:tr w:rsidR="0083131A" w:rsidRPr="009875BA" w14:paraId="6E58F984" w14:textId="77777777" w:rsidTr="0083131A">
        <w:trPr>
          <w:trHeight w:val="20"/>
        </w:trPr>
        <w:tc>
          <w:tcPr>
            <w:tcW w:w="16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FFC99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A5B10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2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45AB8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83131A" w:rsidRPr="009875BA" w14:paraId="2CBA517B" w14:textId="77777777" w:rsidTr="0083131A">
        <w:trPr>
          <w:trHeight w:val="20"/>
        </w:trPr>
        <w:tc>
          <w:tcPr>
            <w:tcW w:w="16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93164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8ADA8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2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AE830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83131A" w:rsidRPr="009875BA" w14:paraId="7621646D" w14:textId="77777777" w:rsidTr="0083131A">
        <w:trPr>
          <w:trHeight w:val="20"/>
        </w:trPr>
        <w:tc>
          <w:tcPr>
            <w:tcW w:w="16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9F93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6D3F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DCF1F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FC2D0" w14:textId="30ED8C01" w:rsidR="0083131A" w:rsidRPr="009875BA" w:rsidRDefault="0083131A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83131A" w:rsidRPr="009875BA" w14:paraId="7AC764A1" w14:textId="77777777" w:rsidTr="0083131A">
        <w:trPr>
          <w:trHeight w:val="20"/>
        </w:trPr>
        <w:tc>
          <w:tcPr>
            <w:tcW w:w="16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692A5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4B741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72770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0999A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17F57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F07A5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51305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83131A" w:rsidRPr="009875BA" w14:paraId="68F9EA66" w14:textId="77777777" w:rsidTr="0083131A">
        <w:trPr>
          <w:trHeight w:val="20"/>
        </w:trPr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27F72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016F9" w14:textId="02222773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E3124" w14:textId="2B38B2CB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FEE05" w14:textId="5FDB20E0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B1BA5" w14:textId="78C67B4B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05D02" w14:textId="0C74CC08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15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D0E4A" w14:textId="5A03F0F2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15 </w:t>
            </w:r>
          </w:p>
        </w:tc>
      </w:tr>
      <w:tr w:rsidR="0083131A" w:rsidRPr="009875BA" w14:paraId="2D1AC732" w14:textId="77777777" w:rsidTr="0083131A">
        <w:trPr>
          <w:trHeight w:val="20"/>
        </w:trPr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229C3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0E75" w14:textId="07787533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C7892" w14:textId="5BEDC7A5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A3941" w14:textId="4EA8C2AC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33FA4" w14:textId="6BA34857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D45ED" w14:textId="09953D73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15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07CA6" w14:textId="49D1A4D5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15 </w:t>
            </w:r>
          </w:p>
        </w:tc>
      </w:tr>
      <w:tr w:rsidR="0083131A" w:rsidRPr="009875BA" w14:paraId="5E686DC5" w14:textId="77777777" w:rsidTr="0083131A">
        <w:trPr>
          <w:trHeight w:val="20"/>
        </w:trPr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8894D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 Oro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83B66" w14:textId="336219AA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B653C" w14:textId="6B78164A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9CF1" w14:textId="5F45D0DA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CA3D7" w14:textId="275570A1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6443A" w14:textId="72CBE878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15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425BB" w14:textId="67A780BA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15 </w:t>
            </w:r>
          </w:p>
        </w:tc>
      </w:tr>
      <w:tr w:rsidR="0083131A" w:rsidRPr="009875BA" w14:paraId="12137C03" w14:textId="77777777" w:rsidTr="0083131A">
        <w:trPr>
          <w:trHeight w:val="20"/>
        </w:trPr>
        <w:tc>
          <w:tcPr>
            <w:tcW w:w="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80956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223A" w14:textId="77777777" w:rsidR="0083131A" w:rsidRPr="009875BA" w:rsidRDefault="0083131A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Mawab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CD9D2" w14:textId="79BD7CDD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D2376" w14:textId="0D64CC60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614FF" w14:textId="7C0C31A9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05E23" w14:textId="14FBDEB9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6D4F" w14:textId="7056B59B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15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64EA3" w14:textId="457ABE7E" w:rsidR="0083131A" w:rsidRPr="009875BA" w:rsidRDefault="0083131A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15 </w:t>
            </w:r>
          </w:p>
        </w:tc>
      </w:tr>
    </w:tbl>
    <w:p w14:paraId="526EFC45" w14:textId="0E43ABD0" w:rsidR="002416E6" w:rsidRPr="009875BA" w:rsidRDefault="00B220D2" w:rsidP="009875BA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9875BA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3AFF1948" w:rsidR="000E7EC3" w:rsidRPr="009875BA" w:rsidRDefault="00872C06" w:rsidP="009875B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9875BA">
        <w:rPr>
          <w:rFonts w:ascii="Arial" w:eastAsia="Arial" w:hAnsi="Arial" w:cs="Arial"/>
          <w:i/>
          <w:color w:val="0070C0"/>
          <w:sz w:val="16"/>
        </w:rPr>
        <w:t>Source: DSWD-FO XI</w:t>
      </w:r>
    </w:p>
    <w:p w14:paraId="05D5D246" w14:textId="77777777" w:rsidR="006D7DCC" w:rsidRPr="009875BA" w:rsidRDefault="006D7DCC" w:rsidP="009875B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9875BA" w:rsidRDefault="00406155" w:rsidP="009875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9875BA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F29648A" w14:textId="77777777" w:rsidR="00E17549" w:rsidRPr="009875BA" w:rsidRDefault="00E17549" w:rsidP="009875BA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6414F6C7" w:rsidR="00042240" w:rsidRPr="009875BA" w:rsidRDefault="00042240" w:rsidP="009875BA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875BA">
        <w:rPr>
          <w:rFonts w:ascii="Arial" w:hAnsi="Arial" w:cs="Arial"/>
          <w:bCs/>
          <w:sz w:val="24"/>
          <w:szCs w:val="24"/>
        </w:rPr>
        <w:t>A total of</w:t>
      </w:r>
      <w:r w:rsidRPr="009875B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6D7DCC" w:rsidRPr="009875BA">
        <w:rPr>
          <w:rFonts w:ascii="Arial" w:hAnsi="Arial" w:cs="Arial"/>
          <w:b/>
          <w:bCs/>
          <w:color w:val="0070C0"/>
          <w:sz w:val="24"/>
          <w:szCs w:val="24"/>
        </w:rPr>
        <w:t>six (6)</w:t>
      </w:r>
      <w:r w:rsidRPr="009875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75BA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9875BA">
        <w:rPr>
          <w:rFonts w:ascii="Arial" w:hAnsi="Arial" w:cs="Arial"/>
          <w:bCs/>
          <w:sz w:val="24"/>
          <w:szCs w:val="24"/>
        </w:rPr>
        <w:t xml:space="preserve"> were </w:t>
      </w:r>
      <w:r w:rsidRPr="009875BA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9875BA">
        <w:rPr>
          <w:rFonts w:ascii="Arial" w:hAnsi="Arial" w:cs="Arial"/>
          <w:bCs/>
          <w:sz w:val="24"/>
          <w:szCs w:val="24"/>
        </w:rPr>
        <w:t xml:space="preserve"> in </w:t>
      </w:r>
      <w:r w:rsidR="00427B64" w:rsidRPr="009875BA">
        <w:rPr>
          <w:rFonts w:ascii="Arial" w:hAnsi="Arial" w:cs="Arial"/>
          <w:b/>
          <w:bCs/>
          <w:color w:val="0070C0"/>
          <w:sz w:val="24"/>
          <w:szCs w:val="24"/>
        </w:rPr>
        <w:t xml:space="preserve">Region XI </w:t>
      </w:r>
      <w:r w:rsidR="000413D7" w:rsidRPr="009875BA">
        <w:rPr>
          <w:rFonts w:ascii="Arial" w:hAnsi="Arial" w:cs="Arial"/>
          <w:bCs/>
          <w:sz w:val="24"/>
          <w:szCs w:val="24"/>
        </w:rPr>
        <w:t>(see Table 3</w:t>
      </w:r>
      <w:r w:rsidRPr="009875BA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9875BA" w:rsidRDefault="00406155" w:rsidP="009875BA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7386CD74" w14:textId="77777777" w:rsidR="000413D7" w:rsidRPr="009875BA" w:rsidRDefault="000413D7" w:rsidP="009875BA">
      <w:pPr>
        <w:spacing w:after="0" w:line="240" w:lineRule="auto"/>
        <w:contextualSpacing/>
        <w:rPr>
          <w:rFonts w:ascii="Arial" w:hAnsi="Arial" w:cs="Arial"/>
          <w:b/>
          <w:i/>
          <w:iCs/>
          <w:sz w:val="24"/>
          <w:szCs w:val="24"/>
        </w:rPr>
      </w:pPr>
      <w:r w:rsidRPr="009875BA">
        <w:rPr>
          <w:rFonts w:ascii="Arial" w:hAnsi="Arial" w:cs="Arial"/>
          <w:b/>
          <w:i/>
          <w:iCs/>
          <w:sz w:val="24"/>
          <w:szCs w:val="24"/>
        </w:rPr>
        <w:br w:type="page"/>
      </w:r>
    </w:p>
    <w:p w14:paraId="6D67AABE" w14:textId="19845E4A" w:rsidR="00406155" w:rsidRPr="009875BA" w:rsidRDefault="000413D7" w:rsidP="009875BA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9875BA">
        <w:rPr>
          <w:rFonts w:ascii="Arial" w:hAnsi="Arial" w:cs="Arial"/>
          <w:b/>
          <w:i/>
          <w:iCs/>
          <w:sz w:val="20"/>
          <w:szCs w:val="24"/>
        </w:rPr>
        <w:lastRenderedPageBreak/>
        <w:t>Table 3</w:t>
      </w:r>
      <w:r w:rsidR="00406155" w:rsidRPr="009875BA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938"/>
        <w:gridCol w:w="1305"/>
        <w:gridCol w:w="1305"/>
        <w:gridCol w:w="1243"/>
      </w:tblGrid>
      <w:tr w:rsidR="006D7DCC" w:rsidRPr="009875BA" w14:paraId="71B6131D" w14:textId="77777777" w:rsidTr="006D7DCC">
        <w:trPr>
          <w:trHeight w:val="20"/>
        </w:trPr>
        <w:tc>
          <w:tcPr>
            <w:tcW w:w="2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62B03" w14:textId="77777777" w:rsidR="006D7DCC" w:rsidRPr="009875BA" w:rsidRDefault="006D7DCC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F094" w14:textId="6AAFA067" w:rsidR="006D7DCC" w:rsidRPr="009875BA" w:rsidRDefault="006D7DCC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6D7DCC" w:rsidRPr="009875BA" w14:paraId="0FF6EE85" w14:textId="77777777" w:rsidTr="006D7DCC">
        <w:trPr>
          <w:trHeight w:val="20"/>
        </w:trPr>
        <w:tc>
          <w:tcPr>
            <w:tcW w:w="2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B6D9" w14:textId="77777777" w:rsidR="006D7DCC" w:rsidRPr="009875BA" w:rsidRDefault="006D7DCC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3606D" w14:textId="77777777" w:rsidR="006D7DCC" w:rsidRPr="009875BA" w:rsidRDefault="006D7DCC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6F4EA" w14:textId="77777777" w:rsidR="006D7DCC" w:rsidRPr="009875BA" w:rsidRDefault="006D7DCC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E7B25" w14:textId="77777777" w:rsidR="006D7DCC" w:rsidRPr="009875BA" w:rsidRDefault="006D7DCC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6D7DCC" w:rsidRPr="009875BA" w14:paraId="3A1407AB" w14:textId="77777777" w:rsidTr="006D7DCC">
        <w:trPr>
          <w:trHeight w:val="20"/>
        </w:trPr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5DCF" w14:textId="77777777" w:rsidR="006D7DCC" w:rsidRPr="009875BA" w:rsidRDefault="006D7DCC" w:rsidP="009875B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BAF62" w14:textId="70274346" w:rsidR="006D7DCC" w:rsidRPr="009875BA" w:rsidRDefault="006D7DCC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40CA2" w14:textId="09E20DE4" w:rsidR="006D7DCC" w:rsidRPr="009875BA" w:rsidRDefault="006D7DCC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56802" w14:textId="160CD795" w:rsidR="006D7DCC" w:rsidRPr="009875BA" w:rsidRDefault="006D7DCC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6D7DCC" w:rsidRPr="009875BA" w14:paraId="7A61DAE6" w14:textId="77777777" w:rsidTr="006D7DCC">
        <w:trPr>
          <w:trHeight w:val="20"/>
        </w:trPr>
        <w:tc>
          <w:tcPr>
            <w:tcW w:w="2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6F706" w14:textId="77777777" w:rsidR="006D7DCC" w:rsidRPr="009875BA" w:rsidRDefault="006D7DCC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F7B18" w14:textId="40615787" w:rsidR="006D7DCC" w:rsidRPr="009875BA" w:rsidRDefault="006D7DCC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2205C" w14:textId="37C45DA9" w:rsidR="006D7DCC" w:rsidRPr="009875BA" w:rsidRDefault="006D7DCC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03EB0" w14:textId="6D335786" w:rsidR="006D7DCC" w:rsidRPr="009875BA" w:rsidRDefault="006D7DCC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6D7DCC" w:rsidRPr="009875BA" w14:paraId="3D7A67F0" w14:textId="77777777" w:rsidTr="006D7DCC">
        <w:trPr>
          <w:trHeight w:val="20"/>
        </w:trPr>
        <w:tc>
          <w:tcPr>
            <w:tcW w:w="2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7983A" w14:textId="77777777" w:rsidR="006D7DCC" w:rsidRPr="009875BA" w:rsidRDefault="006D7DCC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Davao de Oro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7A77B" w14:textId="2C99C836" w:rsidR="006D7DCC" w:rsidRPr="009875BA" w:rsidRDefault="006D7DCC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125A7" w14:textId="2F0D7936" w:rsidR="006D7DCC" w:rsidRPr="009875BA" w:rsidRDefault="006D7DCC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E36D5" w14:textId="48D3A6C6" w:rsidR="006D7DCC" w:rsidRPr="009875BA" w:rsidRDefault="006D7DCC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6D7DCC" w:rsidRPr="009875BA" w14:paraId="13978286" w14:textId="77777777" w:rsidTr="006D7DCC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244DF" w14:textId="77777777" w:rsidR="006D7DCC" w:rsidRPr="009875BA" w:rsidRDefault="006D7DCC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8DAF5" w14:textId="77777777" w:rsidR="006D7DCC" w:rsidRPr="009875BA" w:rsidRDefault="006D7DCC" w:rsidP="009875B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Mawab</w:t>
            </w:r>
            <w:proofErr w:type="spellEnd"/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4A877" w14:textId="7C7F2B9B" w:rsidR="006D7DCC" w:rsidRPr="009875BA" w:rsidRDefault="006D7DCC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FD7A9" w14:textId="47086626" w:rsidR="006D7DCC" w:rsidRPr="009875BA" w:rsidRDefault="006D7DCC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166F5" w14:textId="3D114E15" w:rsidR="006D7DCC" w:rsidRPr="009875BA" w:rsidRDefault="006D7DCC" w:rsidP="009875B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875BA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</w:tbl>
    <w:p w14:paraId="62A68890" w14:textId="3C116EE0" w:rsidR="00406155" w:rsidRPr="009875BA" w:rsidRDefault="00406155" w:rsidP="009875BA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3420" w:rsidRPr="009875B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29D1F639" w14:textId="09970234" w:rsidR="00406155" w:rsidRPr="009875BA" w:rsidRDefault="00796923" w:rsidP="009875B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9875BA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387B35" w:rsidRPr="009875BA">
        <w:rPr>
          <w:rFonts w:ascii="Arial" w:hAnsi="Arial" w:cs="Arial"/>
          <w:bCs/>
          <w:i/>
          <w:color w:val="0070C0"/>
          <w:sz w:val="16"/>
          <w:szCs w:val="24"/>
        </w:rPr>
        <w:t>XI</w:t>
      </w:r>
    </w:p>
    <w:p w14:paraId="4DC4EB38" w14:textId="77777777" w:rsidR="00CA6A31" w:rsidRPr="009875BA" w:rsidRDefault="00CA6A31" w:rsidP="009875BA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196B8B1F" w:rsidR="00443495" w:rsidRPr="009875BA" w:rsidRDefault="00443495" w:rsidP="009875BA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875BA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9875BA" w:rsidRDefault="00B94724" w:rsidP="009875BA">
      <w:pPr>
        <w:pStyle w:val="NoSpacing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1E4E978" w14:textId="77777777" w:rsidR="007F6E71" w:rsidRPr="009875BA" w:rsidRDefault="007F6E71" w:rsidP="009875BA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75BA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F76CEF" w:rsidRPr="009875BA" w14:paraId="496B5A07" w14:textId="77777777" w:rsidTr="00C46D29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DD8751" w14:textId="77777777" w:rsidR="007F6E71" w:rsidRPr="009875BA" w:rsidRDefault="007F6E71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75B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E9D2FD4" w14:textId="77777777" w:rsidR="007F6E71" w:rsidRPr="009875BA" w:rsidRDefault="007F6E71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75B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F40A62A" w14:textId="77777777" w:rsidR="007F6E71" w:rsidRPr="009875BA" w:rsidRDefault="007F6E71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75B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E338467" w14:textId="77777777" w:rsidR="007F6E71" w:rsidRPr="009875BA" w:rsidRDefault="007F6E71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75B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F76CEF" w:rsidRPr="009875BA" w14:paraId="4BE238E9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9AD10" w14:textId="77777777" w:rsidR="007F6E71" w:rsidRPr="009875BA" w:rsidRDefault="007F6E71" w:rsidP="009875B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1595" w14:textId="77777777" w:rsidR="007F6E71" w:rsidRPr="009875BA" w:rsidRDefault="007F6E71" w:rsidP="009875B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345B5A5" w14:textId="77777777" w:rsidR="007F6E71" w:rsidRPr="009875BA" w:rsidRDefault="007F6E71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75B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4563D7B" w14:textId="77777777" w:rsidR="007F6E71" w:rsidRPr="009875BA" w:rsidRDefault="007F6E71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75B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568E" w14:textId="77777777" w:rsidR="007F6E71" w:rsidRPr="009875BA" w:rsidRDefault="007F6E71" w:rsidP="009875B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F76CEF" w:rsidRPr="009875BA" w14:paraId="6B941246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2CBE" w14:textId="77777777" w:rsidR="007F6E71" w:rsidRPr="009875BA" w:rsidRDefault="007F6E71" w:rsidP="009875B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56A7" w14:textId="77777777" w:rsidR="007F6E71" w:rsidRPr="009875BA" w:rsidRDefault="007F6E71" w:rsidP="009875B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FC43882" w14:textId="77777777" w:rsidR="007F6E71" w:rsidRPr="009875BA" w:rsidRDefault="007F6E71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75B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B8A62C" w14:textId="77777777" w:rsidR="007F6E71" w:rsidRPr="009875BA" w:rsidRDefault="007F6E71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75B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C2C0" w14:textId="77777777" w:rsidR="007F6E71" w:rsidRPr="009875BA" w:rsidRDefault="007F6E71" w:rsidP="009875B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EE48" w14:textId="77777777" w:rsidR="007F6E71" w:rsidRPr="009875BA" w:rsidRDefault="007F6E71" w:rsidP="009875B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F76CEF" w:rsidRPr="009875BA" w14:paraId="4CB3B026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A8E0AA1" w14:textId="77777777" w:rsidR="00F76CEF" w:rsidRPr="009875BA" w:rsidRDefault="00F76CEF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75B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63A9E6D" w14:textId="6096893E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73,594,777.99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1DC9091" w14:textId="6EF6625F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106,097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5A2E3C3" w14:textId="22DBDAFE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64,985,722.50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508AEEC" w14:textId="5A3F16DE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291,258,531.86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92B499C" w14:textId="301FCAC9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429,839,032.35 </w:t>
            </w:r>
          </w:p>
        </w:tc>
      </w:tr>
      <w:tr w:rsidR="00F76CEF" w:rsidRPr="009875BA" w14:paraId="3DBAD6EB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90C7" w14:textId="77777777" w:rsidR="00F76CEF" w:rsidRPr="009875BA" w:rsidRDefault="00F76CEF" w:rsidP="009875B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D624" w14:textId="4EFF9AA2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68,594,777.99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1798" w14:textId="1A72B13C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E701" w14:textId="2DC9E922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E176" w14:textId="72FE67E8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4C61" w14:textId="0408A014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68,594,777.99 </w:t>
            </w:r>
          </w:p>
        </w:tc>
      </w:tr>
      <w:tr w:rsidR="00F76CEF" w:rsidRPr="009875BA" w14:paraId="342C3744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B942" w14:textId="77777777" w:rsidR="00F76CEF" w:rsidRPr="009875BA" w:rsidRDefault="00F76CEF" w:rsidP="009875B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E22F" w14:textId="2CFDB6E5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EA4E" w14:textId="671375DD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75,029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AC3F" w14:textId="6559257E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46,435,325.00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B4AB" w14:textId="2BC77D2C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243,967,856.06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DE68" w14:textId="3AB0C792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290,403,181.06 </w:t>
            </w:r>
          </w:p>
        </w:tc>
      </w:tr>
      <w:tr w:rsidR="00F76CEF" w:rsidRPr="009875BA" w14:paraId="2C84AAA1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EC5E" w14:textId="77777777" w:rsidR="00F76CEF" w:rsidRPr="009875BA" w:rsidRDefault="00F76CEF" w:rsidP="009875B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A29E" w14:textId="2EB21F53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8ABF" w14:textId="005D394B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3,737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AB44" w14:textId="2473CADC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2,324,414.00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F612" w14:textId="16F7E780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17,274,653.00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C404" w14:textId="19CC53F1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19,599,067.00 </w:t>
            </w:r>
          </w:p>
        </w:tc>
      </w:tr>
      <w:tr w:rsidR="00F76CEF" w:rsidRPr="009875BA" w14:paraId="2E4211EE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A41F" w14:textId="7AFC52C9" w:rsidR="00F76CEF" w:rsidRPr="009875BA" w:rsidRDefault="00F76CEF" w:rsidP="009875BA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XI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3DF6" w14:textId="43E2A670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5,000,000.00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D437" w14:textId="55C6C479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27,331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379E" w14:textId="64F09A12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16,225,983.50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88FB" w14:textId="07F3179A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30,016,022.80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E431" w14:textId="26F9C9D6" w:rsidR="00F76CEF" w:rsidRPr="009875BA" w:rsidRDefault="00F76CEF" w:rsidP="009875BA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9875BA">
              <w:rPr>
                <w:rFonts w:ascii="Arial Narrow" w:hAnsi="Arial Narrow" w:cs="Arial"/>
                <w:sz w:val="20"/>
                <w:szCs w:val="20"/>
              </w:rPr>
              <w:t xml:space="preserve">51,242,006.30 </w:t>
            </w:r>
          </w:p>
        </w:tc>
      </w:tr>
    </w:tbl>
    <w:p w14:paraId="37B6A10B" w14:textId="1610507C" w:rsidR="007F6E71" w:rsidRPr="009875BA" w:rsidRDefault="007F6E71" w:rsidP="009875BA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9875BA">
        <w:rPr>
          <w:rFonts w:ascii="Arial" w:hAnsi="Arial" w:cs="Arial"/>
          <w:i/>
          <w:sz w:val="16"/>
          <w:szCs w:val="24"/>
        </w:rPr>
        <w:t>Note: T</w:t>
      </w:r>
      <w:r w:rsidR="00F76CEF" w:rsidRPr="009875BA">
        <w:rPr>
          <w:rFonts w:ascii="Arial" w:hAnsi="Arial" w:cs="Arial"/>
          <w:i/>
          <w:sz w:val="16"/>
          <w:szCs w:val="24"/>
        </w:rPr>
        <w:t>he Inventory Summary is as of 06</w:t>
      </w:r>
      <w:r w:rsidRPr="009875BA">
        <w:rPr>
          <w:rFonts w:ascii="Arial" w:hAnsi="Arial" w:cs="Arial"/>
          <w:i/>
          <w:sz w:val="16"/>
          <w:szCs w:val="24"/>
        </w:rPr>
        <w:t xml:space="preserve"> April 2022, 4PM.</w:t>
      </w:r>
    </w:p>
    <w:p w14:paraId="744CE4B5" w14:textId="77777777" w:rsidR="007F6E71" w:rsidRPr="009875BA" w:rsidRDefault="007F6E71" w:rsidP="009875B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</w:rPr>
      </w:pPr>
      <w:r w:rsidRPr="009875BA">
        <w:rPr>
          <w:rFonts w:ascii="Arial" w:hAnsi="Arial" w:cs="Arial"/>
          <w:bCs/>
          <w:i/>
          <w:color w:val="0070C0"/>
          <w:sz w:val="16"/>
        </w:rPr>
        <w:t xml:space="preserve">    </w:t>
      </w:r>
      <w:r w:rsidRPr="009875BA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44EED90F" w14:textId="77777777" w:rsidR="007F6E71" w:rsidRPr="009875BA" w:rsidRDefault="007F6E71" w:rsidP="009875BA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A09DE1B" w14:textId="77777777" w:rsidR="007F6E71" w:rsidRPr="009875BA" w:rsidRDefault="007F6E71" w:rsidP="009875BA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9875BA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9A7A7E" w14:textId="6559008C" w:rsidR="007F6E71" w:rsidRPr="009875BA" w:rsidRDefault="007F6E71" w:rsidP="009875BA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75BA">
        <w:rPr>
          <w:rFonts w:ascii="Arial" w:eastAsia="Arial" w:hAnsi="Arial" w:cs="Arial"/>
          <w:sz w:val="24"/>
          <w:szCs w:val="24"/>
        </w:rPr>
        <w:t>₱68.</w:t>
      </w:r>
      <w:r w:rsidR="00F76CEF" w:rsidRPr="009875BA">
        <w:rPr>
          <w:rFonts w:ascii="Arial" w:eastAsia="Arial" w:hAnsi="Arial" w:cs="Arial"/>
          <w:sz w:val="24"/>
          <w:szCs w:val="24"/>
        </w:rPr>
        <w:t>59</w:t>
      </w:r>
      <w:r w:rsidRPr="009875B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C59EE97" w14:textId="098D6EA0" w:rsidR="007F6E71" w:rsidRPr="009875BA" w:rsidRDefault="007F6E71" w:rsidP="009875BA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75BA">
        <w:rPr>
          <w:rFonts w:ascii="Arial" w:eastAsia="Arial" w:hAnsi="Arial" w:cs="Arial"/>
          <w:sz w:val="24"/>
          <w:szCs w:val="24"/>
        </w:rPr>
        <w:t>₱</w:t>
      </w:r>
      <w:r w:rsidR="00F76CEF" w:rsidRPr="009875BA">
        <w:rPr>
          <w:rFonts w:ascii="Arial" w:eastAsia="Arial" w:hAnsi="Arial" w:cs="Arial"/>
          <w:sz w:val="24"/>
          <w:szCs w:val="24"/>
        </w:rPr>
        <w:t>5</w:t>
      </w:r>
      <w:r w:rsidR="00244FC3" w:rsidRPr="009875BA">
        <w:rPr>
          <w:rFonts w:ascii="Arial" w:eastAsia="Arial" w:hAnsi="Arial" w:cs="Arial"/>
          <w:sz w:val="24"/>
          <w:szCs w:val="24"/>
        </w:rPr>
        <w:t xml:space="preserve"> million available at DSWD-FO </w:t>
      </w:r>
      <w:r w:rsidR="004353EB" w:rsidRPr="009875BA">
        <w:rPr>
          <w:rFonts w:ascii="Arial" w:eastAsia="Arial" w:hAnsi="Arial" w:cs="Arial"/>
          <w:sz w:val="24"/>
          <w:szCs w:val="24"/>
        </w:rPr>
        <w:t>XI</w:t>
      </w:r>
      <w:r w:rsidRPr="009875BA">
        <w:rPr>
          <w:rFonts w:ascii="Arial" w:hAnsi="Arial" w:cs="Arial"/>
          <w:sz w:val="24"/>
          <w:szCs w:val="24"/>
        </w:rPr>
        <w:t>.</w:t>
      </w:r>
    </w:p>
    <w:p w14:paraId="31230740" w14:textId="77777777" w:rsidR="007F6E71" w:rsidRPr="009875BA" w:rsidRDefault="007F6E71" w:rsidP="009875B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D9E769" w14:textId="77777777" w:rsidR="007F6E71" w:rsidRPr="009875BA" w:rsidRDefault="007F6E71" w:rsidP="009875BA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75BA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8F73B8" w14:textId="445DF832" w:rsidR="007F6E71" w:rsidRPr="009875BA" w:rsidRDefault="006117CA" w:rsidP="009875BA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75BA">
        <w:rPr>
          <w:rFonts w:ascii="Arial" w:eastAsia="Arial" w:hAnsi="Arial" w:cs="Arial"/>
          <w:sz w:val="24"/>
          <w:szCs w:val="24"/>
        </w:rPr>
        <w:t>78</w:t>
      </w:r>
      <w:r w:rsidR="007F6E71" w:rsidRPr="009875BA">
        <w:rPr>
          <w:rFonts w:ascii="Arial" w:eastAsia="Arial" w:hAnsi="Arial" w:cs="Arial"/>
          <w:sz w:val="24"/>
          <w:szCs w:val="24"/>
        </w:rPr>
        <w:t>,</w:t>
      </w:r>
      <w:r w:rsidRPr="009875BA">
        <w:rPr>
          <w:rFonts w:ascii="Arial" w:eastAsia="Arial" w:hAnsi="Arial" w:cs="Arial"/>
          <w:sz w:val="24"/>
          <w:szCs w:val="24"/>
        </w:rPr>
        <w:t>766</w:t>
      </w:r>
      <w:r w:rsidR="007F6E71" w:rsidRPr="009875BA">
        <w:rPr>
          <w:rFonts w:ascii="Arial" w:eastAsia="Arial" w:hAnsi="Arial" w:cs="Arial"/>
          <w:sz w:val="24"/>
          <w:szCs w:val="24"/>
        </w:rPr>
        <w:t xml:space="preserve"> FFPs available in Disaste</w:t>
      </w:r>
      <w:r w:rsidRPr="009875BA">
        <w:rPr>
          <w:rFonts w:ascii="Arial" w:eastAsia="Arial" w:hAnsi="Arial" w:cs="Arial"/>
          <w:sz w:val="24"/>
          <w:szCs w:val="24"/>
        </w:rPr>
        <w:t>r Response Centers; of which, 75</w:t>
      </w:r>
      <w:r w:rsidR="007F6E71" w:rsidRPr="009875BA">
        <w:rPr>
          <w:rFonts w:ascii="Arial" w:eastAsia="Arial" w:hAnsi="Arial" w:cs="Arial"/>
          <w:sz w:val="24"/>
          <w:szCs w:val="24"/>
        </w:rPr>
        <w:t>,</w:t>
      </w:r>
      <w:r w:rsidRPr="009875BA">
        <w:rPr>
          <w:rFonts w:ascii="Arial" w:eastAsia="Arial" w:hAnsi="Arial" w:cs="Arial"/>
          <w:sz w:val="24"/>
          <w:szCs w:val="24"/>
        </w:rPr>
        <w:t>029</w:t>
      </w:r>
      <w:r w:rsidR="007F6E71" w:rsidRPr="009875BA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3,737 FFPs are at the </w:t>
      </w:r>
      <w:proofErr w:type="spellStart"/>
      <w:r w:rsidR="007F6E71" w:rsidRPr="009875BA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7F6E71" w:rsidRPr="009875BA">
        <w:rPr>
          <w:rFonts w:ascii="Arial" w:eastAsia="Arial" w:hAnsi="Arial" w:cs="Arial"/>
          <w:sz w:val="24"/>
          <w:szCs w:val="24"/>
        </w:rPr>
        <w:t xml:space="preserve"> Disaster Response Center (VDRC), Cebu City.</w:t>
      </w:r>
    </w:p>
    <w:p w14:paraId="33574C1C" w14:textId="6664998C" w:rsidR="007F6E71" w:rsidRPr="009875BA" w:rsidRDefault="00F76CEF" w:rsidP="009875BA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75BA">
        <w:rPr>
          <w:rFonts w:ascii="Arial" w:eastAsia="Arial" w:hAnsi="Arial" w:cs="Arial"/>
          <w:sz w:val="24"/>
          <w:szCs w:val="24"/>
        </w:rPr>
        <w:t>27</w:t>
      </w:r>
      <w:r w:rsidR="007F6E71" w:rsidRPr="009875BA">
        <w:rPr>
          <w:rFonts w:ascii="Arial" w:eastAsia="Arial" w:hAnsi="Arial" w:cs="Arial"/>
          <w:sz w:val="24"/>
          <w:szCs w:val="24"/>
        </w:rPr>
        <w:t>,</w:t>
      </w:r>
      <w:r w:rsidRPr="009875BA">
        <w:rPr>
          <w:rFonts w:ascii="Arial" w:eastAsia="Arial" w:hAnsi="Arial" w:cs="Arial"/>
          <w:sz w:val="24"/>
          <w:szCs w:val="24"/>
        </w:rPr>
        <w:t>331</w:t>
      </w:r>
      <w:r w:rsidR="0015786D" w:rsidRPr="009875BA">
        <w:rPr>
          <w:rFonts w:ascii="Arial" w:eastAsia="Arial" w:hAnsi="Arial" w:cs="Arial"/>
          <w:sz w:val="24"/>
          <w:szCs w:val="24"/>
        </w:rPr>
        <w:t xml:space="preserve"> FFPs available at DSWD-FO </w:t>
      </w:r>
      <w:r w:rsidR="004353EB" w:rsidRPr="009875BA">
        <w:rPr>
          <w:rFonts w:ascii="Arial" w:eastAsia="Arial" w:hAnsi="Arial" w:cs="Arial"/>
          <w:sz w:val="24"/>
          <w:szCs w:val="24"/>
        </w:rPr>
        <w:t>XI</w:t>
      </w:r>
      <w:r w:rsidR="007F6E71" w:rsidRPr="009875BA">
        <w:rPr>
          <w:rFonts w:ascii="Arial" w:eastAsia="Arial" w:hAnsi="Arial" w:cs="Arial"/>
          <w:sz w:val="24"/>
          <w:szCs w:val="24"/>
        </w:rPr>
        <w:t>.</w:t>
      </w:r>
    </w:p>
    <w:p w14:paraId="370FA829" w14:textId="594A2709" w:rsidR="007F6E71" w:rsidRPr="009875BA" w:rsidRDefault="007F6E71" w:rsidP="009875BA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75BA">
        <w:rPr>
          <w:rFonts w:ascii="Arial" w:eastAsia="Arial" w:hAnsi="Arial" w:cs="Arial"/>
          <w:sz w:val="24"/>
          <w:szCs w:val="24"/>
        </w:rPr>
        <w:t>₱</w:t>
      </w:r>
      <w:r w:rsidR="00F76CEF" w:rsidRPr="009875BA">
        <w:rPr>
          <w:rFonts w:ascii="Arial" w:eastAsia="Arial" w:hAnsi="Arial" w:cs="Arial"/>
          <w:sz w:val="24"/>
          <w:szCs w:val="24"/>
        </w:rPr>
        <w:t>291</w:t>
      </w:r>
      <w:r w:rsidRPr="009875BA">
        <w:rPr>
          <w:rFonts w:ascii="Arial" w:eastAsia="Arial" w:hAnsi="Arial" w:cs="Arial"/>
          <w:sz w:val="24"/>
          <w:szCs w:val="24"/>
        </w:rPr>
        <w:t>.</w:t>
      </w:r>
      <w:r w:rsidR="00F76CEF" w:rsidRPr="009875BA">
        <w:rPr>
          <w:rFonts w:ascii="Arial" w:eastAsia="Arial" w:hAnsi="Arial" w:cs="Arial"/>
          <w:sz w:val="24"/>
          <w:szCs w:val="24"/>
        </w:rPr>
        <w:t>26</w:t>
      </w:r>
      <w:r w:rsidRPr="009875BA">
        <w:rPr>
          <w:rFonts w:ascii="Arial" w:eastAsia="Arial" w:hAnsi="Arial" w:cs="Arial"/>
          <w:sz w:val="24"/>
          <w:szCs w:val="24"/>
        </w:rPr>
        <w:t xml:space="preserve"> million worth of other F</w:t>
      </w:r>
      <w:r w:rsidR="00411AB4" w:rsidRPr="009875BA">
        <w:rPr>
          <w:rFonts w:ascii="Arial" w:eastAsia="Arial" w:hAnsi="Arial" w:cs="Arial"/>
          <w:sz w:val="24"/>
          <w:szCs w:val="24"/>
        </w:rPr>
        <w:t>N</w:t>
      </w:r>
      <w:r w:rsidR="004353EB" w:rsidRPr="009875BA">
        <w:rPr>
          <w:rFonts w:ascii="Arial" w:eastAsia="Arial" w:hAnsi="Arial" w:cs="Arial"/>
          <w:sz w:val="24"/>
          <w:szCs w:val="24"/>
        </w:rPr>
        <w:t>Is at NROC, VDRC and DSWD-FO XI</w:t>
      </w:r>
      <w:r w:rsidRPr="009875BA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0625FB11" w14:textId="77777777" w:rsidR="005F5663" w:rsidRPr="009875BA" w:rsidRDefault="005F5663" w:rsidP="009875B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57ACB06" w14:textId="20EB4B5B" w:rsidR="004B5DFD" w:rsidRPr="009875BA" w:rsidRDefault="004B5DFD" w:rsidP="009875BA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75BA">
        <w:rPr>
          <w:rFonts w:ascii="Arial" w:hAnsi="Arial" w:cs="Arial"/>
          <w:b/>
          <w:sz w:val="24"/>
          <w:szCs w:val="24"/>
        </w:rPr>
        <w:t>Food and Non-Food Items (FNIs)</w:t>
      </w:r>
    </w:p>
    <w:p w14:paraId="72CB70A1" w14:textId="77777777" w:rsidR="004B5DFD" w:rsidRPr="009875BA" w:rsidRDefault="004B5DFD" w:rsidP="009875BA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4B5DFD" w:rsidRPr="009875BA" w14:paraId="034B3784" w14:textId="77777777" w:rsidTr="00FD62D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CCD53" w14:textId="77777777" w:rsidR="004B5DFD" w:rsidRPr="009875BA" w:rsidRDefault="004B5DFD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D8DF1" w14:textId="77777777" w:rsidR="004B5DFD" w:rsidRPr="009875BA" w:rsidRDefault="004B5DFD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ACTIVITIES</w:t>
            </w:r>
          </w:p>
        </w:tc>
      </w:tr>
      <w:tr w:rsidR="004B5DFD" w:rsidRPr="009875BA" w14:paraId="2EA22441" w14:textId="77777777" w:rsidTr="00FD62D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D68B7" w14:textId="77777777" w:rsidR="004B5DFD" w:rsidRPr="009875BA" w:rsidRDefault="004B5DFD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05 April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7234D" w14:textId="1F874443" w:rsidR="004B5DFD" w:rsidRPr="009875BA" w:rsidRDefault="004B5DFD" w:rsidP="009875BA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The 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Municipal Social Welfare and Development Office (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MSWDO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)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of </w:t>
            </w:r>
            <w:proofErr w:type="spellStart"/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Mawab</w:t>
            </w:r>
            <w:proofErr w:type="spellEnd"/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, Davao de Oro 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has 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set-up community cooking to serve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meals 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to the affected families and individuals.</w:t>
            </w:r>
          </w:p>
        </w:tc>
      </w:tr>
    </w:tbl>
    <w:p w14:paraId="1D559F04" w14:textId="77777777" w:rsidR="004B5DFD" w:rsidRPr="009875BA" w:rsidRDefault="004B5DFD" w:rsidP="009875B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502EC60" w14:textId="1F9255E6" w:rsidR="004B5DFD" w:rsidRPr="009875BA" w:rsidRDefault="004B5DFD" w:rsidP="009875BA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75BA"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1C330B73" w14:textId="77777777" w:rsidR="004B5DFD" w:rsidRPr="009875BA" w:rsidRDefault="004B5DFD" w:rsidP="009875BA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4B5DFD" w:rsidRPr="009875BA" w14:paraId="00D661F2" w14:textId="77777777" w:rsidTr="00FD62D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AF5D2" w14:textId="77777777" w:rsidR="004B5DFD" w:rsidRPr="009875BA" w:rsidRDefault="004B5DFD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55838" w14:textId="77777777" w:rsidR="004B5DFD" w:rsidRPr="009875BA" w:rsidRDefault="004B5DFD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ACTIVITIES</w:t>
            </w:r>
          </w:p>
        </w:tc>
      </w:tr>
      <w:tr w:rsidR="004B5DFD" w:rsidRPr="009875BA" w14:paraId="05CB6E4B" w14:textId="77777777" w:rsidTr="00FD62D0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782F4C" w14:textId="77777777" w:rsidR="004B5DFD" w:rsidRPr="009875BA" w:rsidRDefault="004B5DFD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05 April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BB3ACC" w14:textId="3A356AC2" w:rsidR="004B5DFD" w:rsidRPr="009875BA" w:rsidRDefault="004B5DFD" w:rsidP="009875BA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LGU </w:t>
            </w:r>
            <w:proofErr w:type="spellStart"/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Mawab</w:t>
            </w:r>
            <w:proofErr w:type="spellEnd"/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,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Davao de Oro Province close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ly coordinated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with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the 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affected barangay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s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to provide 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ps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ychosocial services and assess the 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needed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</w:t>
            </w: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intervention of the affected families and individuals.</w:t>
            </w:r>
          </w:p>
        </w:tc>
      </w:tr>
    </w:tbl>
    <w:p w14:paraId="6852DFFA" w14:textId="77777777" w:rsidR="004B5DFD" w:rsidRPr="009875BA" w:rsidRDefault="004B5DFD" w:rsidP="009875B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E8A1E85" w14:textId="77777777" w:rsidR="009875BA" w:rsidRDefault="009875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08B04D" w14:textId="0EAC9984" w:rsidR="00C638AC" w:rsidRPr="009875BA" w:rsidRDefault="00C42F14" w:rsidP="009875BA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75BA">
        <w:rPr>
          <w:rFonts w:ascii="Arial" w:hAnsi="Arial" w:cs="Arial"/>
          <w:b/>
          <w:sz w:val="24"/>
          <w:szCs w:val="24"/>
        </w:rPr>
        <w:lastRenderedPageBreak/>
        <w:t>Camp Coordination and Camp Management (CCCM)</w:t>
      </w:r>
    </w:p>
    <w:p w14:paraId="236075D5" w14:textId="77777777" w:rsidR="00C638AC" w:rsidRPr="009875BA" w:rsidRDefault="00C638AC" w:rsidP="009875BA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F76CEF" w:rsidRPr="009875BA" w14:paraId="6496049B" w14:textId="77777777" w:rsidTr="005174E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52998" w14:textId="77777777" w:rsidR="00C638AC" w:rsidRPr="009875BA" w:rsidRDefault="00C638AC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9956B" w14:textId="77777777" w:rsidR="00C638AC" w:rsidRPr="009875BA" w:rsidRDefault="00C638AC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n-PH"/>
              </w:rPr>
              <w:t>ACTIVITIES</w:t>
            </w:r>
          </w:p>
        </w:tc>
      </w:tr>
      <w:tr w:rsidR="00F76CEF" w:rsidRPr="009875BA" w14:paraId="3E974097" w14:textId="77777777" w:rsidTr="004353EB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BAD3C" w14:textId="5A345FD6" w:rsidR="00C638AC" w:rsidRPr="009875BA" w:rsidRDefault="00F76CEF" w:rsidP="009875B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05 April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1CB77" w14:textId="1C7BA6DB" w:rsidR="00F76CEF" w:rsidRPr="009875BA" w:rsidRDefault="00B5788A" w:rsidP="009875BA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DSWD-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FO XI through 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its 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Disaster Response Management Division (DRMD) close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ly coordinated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with the affected 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local government units (LGUs) 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for reports and updates 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on the situation 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of the 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internally displaced persons (IDPs) 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inside 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evacuation centers 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and to ensure compliance with the provision of emergency relief and</w:t>
            </w:r>
            <w:r w:rsidR="00C42F14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protection for the children (</w:t>
            </w:r>
            <w:r w:rsidR="00C42F14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Republic Act No. 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10821) before, during and after disasters and other</w:t>
            </w:r>
            <w:r w:rsidR="00C42F14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emergency situations as well as to monitor the compliance with the health</w:t>
            </w:r>
            <w:r w:rsidR="00C42F14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 and </w:t>
            </w:r>
            <w:r w:rsidR="00C42F14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safety 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 xml:space="preserve">protocols set by the </w:t>
            </w:r>
            <w:r w:rsidR="00C42F14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Inter-Agency Task Force for the Management of Emerging Infectious Diseases (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IATF</w:t>
            </w:r>
            <w:r w:rsidR="00C42F14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-MEID)</w:t>
            </w:r>
            <w:r w:rsidR="00F76CEF" w:rsidRPr="009875BA">
              <w:rPr>
                <w:rFonts w:ascii="Arial" w:eastAsia="Times New Roman" w:hAnsi="Arial" w:cs="Arial"/>
                <w:sz w:val="20"/>
                <w:szCs w:val="24"/>
                <w:lang w:eastAsia="en-PH"/>
              </w:rPr>
              <w:t>.</w:t>
            </w:r>
          </w:p>
        </w:tc>
      </w:tr>
    </w:tbl>
    <w:p w14:paraId="3EE03B51" w14:textId="258E50EB" w:rsidR="00C638AC" w:rsidRDefault="00C638AC" w:rsidP="009875B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FC30A6E" w14:textId="77777777" w:rsidR="008618F6" w:rsidRPr="009875BA" w:rsidRDefault="008618F6" w:rsidP="009875B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8618F6" w:rsidRDefault="007F2E58" w:rsidP="008618F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618F6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705D9E27" w:rsidR="000E7EC3" w:rsidRPr="008618F6" w:rsidRDefault="007F2E58" w:rsidP="008618F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</w:t>
      </w:r>
      <w:r w:rsidR="00CF3C11"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osely coordinating with DSWD-FO </w:t>
      </w:r>
      <w:r w:rsidR="00C955BE"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</w:t>
      </w:r>
      <w:r w:rsidR="00402C7F"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8618F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272EA4D8" w:rsidR="00965AB1" w:rsidRPr="009875BA" w:rsidRDefault="00965AB1" w:rsidP="009875BA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9875BA" w:rsidRDefault="00FF2C3D" w:rsidP="009875BA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9875BA" w14:paraId="1207FA14" w14:textId="77777777" w:rsidTr="00176FDC">
        <w:tc>
          <w:tcPr>
            <w:tcW w:w="4868" w:type="dxa"/>
          </w:tcPr>
          <w:p w14:paraId="0AA570A2" w14:textId="44511839" w:rsidR="00417F91" w:rsidRPr="009875BA" w:rsidRDefault="007F2E58" w:rsidP="009875B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5BA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9875BA" w:rsidRDefault="00417F91" w:rsidP="009875B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9875BA" w:rsidRDefault="00657DF6" w:rsidP="009875B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D93B785" w:rsidR="002F5F75" w:rsidRPr="009875BA" w:rsidRDefault="003D58D7" w:rsidP="009875B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9875BA" w:rsidRDefault="007F2E58" w:rsidP="009875B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75BA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9875BA" w:rsidRDefault="00417F91" w:rsidP="009875B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D08B100" w:rsidR="00D1254E" w:rsidRPr="009875BA" w:rsidRDefault="00E82802" w:rsidP="009875B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75BA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9875BA" w:rsidRDefault="00D1254E" w:rsidP="009875BA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4194729" w14:textId="77777777" w:rsidR="009875BA" w:rsidRPr="009875BA" w:rsidRDefault="009875BA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0" w:name="_GoBack"/>
      <w:bookmarkEnd w:id="0"/>
    </w:p>
    <w:sectPr w:rsidR="009875BA" w:rsidRPr="009875BA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2C917" w14:textId="77777777" w:rsidR="00493581" w:rsidRDefault="00493581" w:rsidP="00C12445">
      <w:pPr>
        <w:spacing w:after="0" w:line="240" w:lineRule="auto"/>
      </w:pPr>
      <w:r>
        <w:separator/>
      </w:r>
    </w:p>
  </w:endnote>
  <w:endnote w:type="continuationSeparator" w:id="0">
    <w:p w14:paraId="5CAD34F6" w14:textId="77777777" w:rsidR="00493581" w:rsidRDefault="0049358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84782AE" w:rsidR="00406155" w:rsidRPr="00195A09" w:rsidRDefault="00652CDB" w:rsidP="00652CDB">
            <w:pPr>
              <w:pStyle w:val="Footer"/>
              <w:jc w:val="right"/>
              <w:rPr>
                <w:sz w:val="16"/>
                <w:szCs w:val="20"/>
              </w:rPr>
            </w:pPr>
            <w:r w:rsidRPr="00652CDB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</w:t>
            </w:r>
            <w:r w:rsidR="00FA4BBE">
              <w:rPr>
                <w:sz w:val="16"/>
                <w:szCs w:val="20"/>
              </w:rPr>
              <w:t xml:space="preserve">Effects of ITCZ </w:t>
            </w:r>
            <w:r w:rsidRPr="00652CDB">
              <w:rPr>
                <w:sz w:val="16"/>
                <w:szCs w:val="20"/>
              </w:rPr>
              <w:t xml:space="preserve">as of 04 April 2022, 6PM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A4BBE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A4BBE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CF427" w14:textId="77777777" w:rsidR="00493581" w:rsidRDefault="00493581" w:rsidP="00C12445">
      <w:pPr>
        <w:spacing w:after="0" w:line="240" w:lineRule="auto"/>
      </w:pPr>
      <w:r>
        <w:separator/>
      </w:r>
    </w:p>
  </w:footnote>
  <w:footnote w:type="continuationSeparator" w:id="0">
    <w:p w14:paraId="4923FE23" w14:textId="77777777" w:rsidR="00493581" w:rsidRDefault="0049358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8B2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13D7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35E9"/>
    <w:rsid w:val="0008449C"/>
    <w:rsid w:val="000855F4"/>
    <w:rsid w:val="00090EBE"/>
    <w:rsid w:val="00092973"/>
    <w:rsid w:val="00095021"/>
    <w:rsid w:val="00095132"/>
    <w:rsid w:val="000A00E0"/>
    <w:rsid w:val="000A2577"/>
    <w:rsid w:val="000A7A1E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628"/>
    <w:rsid w:val="0014677F"/>
    <w:rsid w:val="001520E6"/>
    <w:rsid w:val="001523E1"/>
    <w:rsid w:val="00155113"/>
    <w:rsid w:val="0015786D"/>
    <w:rsid w:val="001608DC"/>
    <w:rsid w:val="001614ED"/>
    <w:rsid w:val="00161F7F"/>
    <w:rsid w:val="001662C7"/>
    <w:rsid w:val="00167B25"/>
    <w:rsid w:val="0017016A"/>
    <w:rsid w:val="00170C55"/>
    <w:rsid w:val="0017324C"/>
    <w:rsid w:val="001736DF"/>
    <w:rsid w:val="00174479"/>
    <w:rsid w:val="00176CD0"/>
    <w:rsid w:val="00176FDC"/>
    <w:rsid w:val="0017782A"/>
    <w:rsid w:val="001901AC"/>
    <w:rsid w:val="001923F6"/>
    <w:rsid w:val="00192BEC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E7271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4FC3"/>
    <w:rsid w:val="002451E2"/>
    <w:rsid w:val="00246856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B595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8576B"/>
    <w:rsid w:val="00387B35"/>
    <w:rsid w:val="00394E19"/>
    <w:rsid w:val="00396C67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477D"/>
    <w:rsid w:val="003C6E37"/>
    <w:rsid w:val="003D0BA7"/>
    <w:rsid w:val="003D5615"/>
    <w:rsid w:val="003D58D7"/>
    <w:rsid w:val="003E3D36"/>
    <w:rsid w:val="003E57B2"/>
    <w:rsid w:val="003E66D6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1AB4"/>
    <w:rsid w:val="00416752"/>
    <w:rsid w:val="00417F91"/>
    <w:rsid w:val="004208E9"/>
    <w:rsid w:val="00423E04"/>
    <w:rsid w:val="00425177"/>
    <w:rsid w:val="004259BF"/>
    <w:rsid w:val="00426F24"/>
    <w:rsid w:val="00427B64"/>
    <w:rsid w:val="004353EB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93581"/>
    <w:rsid w:val="004A0CAD"/>
    <w:rsid w:val="004A633D"/>
    <w:rsid w:val="004A792D"/>
    <w:rsid w:val="004A7FDA"/>
    <w:rsid w:val="004B1A4F"/>
    <w:rsid w:val="004B3DF9"/>
    <w:rsid w:val="004B5DFD"/>
    <w:rsid w:val="004C23BB"/>
    <w:rsid w:val="004C4544"/>
    <w:rsid w:val="004C65EC"/>
    <w:rsid w:val="004C7388"/>
    <w:rsid w:val="004D4986"/>
    <w:rsid w:val="004D4E92"/>
    <w:rsid w:val="004D55CA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0607"/>
    <w:rsid w:val="005D2A33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17CA"/>
    <w:rsid w:val="0061301A"/>
    <w:rsid w:val="006222D3"/>
    <w:rsid w:val="006247E3"/>
    <w:rsid w:val="006258C6"/>
    <w:rsid w:val="00630F7A"/>
    <w:rsid w:val="006322BF"/>
    <w:rsid w:val="00633FF0"/>
    <w:rsid w:val="00636882"/>
    <w:rsid w:val="00647090"/>
    <w:rsid w:val="006502BE"/>
    <w:rsid w:val="006502E2"/>
    <w:rsid w:val="00652CDB"/>
    <w:rsid w:val="00653569"/>
    <w:rsid w:val="00653ED6"/>
    <w:rsid w:val="00657DF6"/>
    <w:rsid w:val="00661978"/>
    <w:rsid w:val="006657E4"/>
    <w:rsid w:val="00673A65"/>
    <w:rsid w:val="00674E5E"/>
    <w:rsid w:val="006768EA"/>
    <w:rsid w:val="00680ECA"/>
    <w:rsid w:val="0068106F"/>
    <w:rsid w:val="00681C29"/>
    <w:rsid w:val="00681CD1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24BC"/>
    <w:rsid w:val="006D3988"/>
    <w:rsid w:val="006D53C1"/>
    <w:rsid w:val="006D7DCC"/>
    <w:rsid w:val="006E1975"/>
    <w:rsid w:val="006E51D5"/>
    <w:rsid w:val="006E5309"/>
    <w:rsid w:val="006E6F6F"/>
    <w:rsid w:val="006E75A7"/>
    <w:rsid w:val="006F1580"/>
    <w:rsid w:val="006F2E2D"/>
    <w:rsid w:val="006F3161"/>
    <w:rsid w:val="006F5C16"/>
    <w:rsid w:val="006F7B97"/>
    <w:rsid w:val="00702CCA"/>
    <w:rsid w:val="00706EE6"/>
    <w:rsid w:val="0070789B"/>
    <w:rsid w:val="00707F4F"/>
    <w:rsid w:val="00710907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148"/>
    <w:rsid w:val="00753446"/>
    <w:rsid w:val="00757281"/>
    <w:rsid w:val="00766A61"/>
    <w:rsid w:val="00770B29"/>
    <w:rsid w:val="0078059F"/>
    <w:rsid w:val="00780CA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644E"/>
    <w:rsid w:val="007E75CF"/>
    <w:rsid w:val="007F10FF"/>
    <w:rsid w:val="007F18D4"/>
    <w:rsid w:val="007F2E58"/>
    <w:rsid w:val="007F426E"/>
    <w:rsid w:val="007F4FB1"/>
    <w:rsid w:val="007F5F08"/>
    <w:rsid w:val="007F6E71"/>
    <w:rsid w:val="007F7F3B"/>
    <w:rsid w:val="0080412B"/>
    <w:rsid w:val="008049D8"/>
    <w:rsid w:val="008153ED"/>
    <w:rsid w:val="0083131A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18F6"/>
    <w:rsid w:val="008636F0"/>
    <w:rsid w:val="00863902"/>
    <w:rsid w:val="00872C06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3C9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875BA"/>
    <w:rsid w:val="00992F1F"/>
    <w:rsid w:val="00992F6F"/>
    <w:rsid w:val="009930C9"/>
    <w:rsid w:val="00994BAA"/>
    <w:rsid w:val="0099537C"/>
    <w:rsid w:val="009A085F"/>
    <w:rsid w:val="009A79A0"/>
    <w:rsid w:val="009B6CBE"/>
    <w:rsid w:val="009C6755"/>
    <w:rsid w:val="009D1AE9"/>
    <w:rsid w:val="009D60CF"/>
    <w:rsid w:val="009E1B91"/>
    <w:rsid w:val="009F062F"/>
    <w:rsid w:val="009F22FE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75BA4"/>
    <w:rsid w:val="00A8572E"/>
    <w:rsid w:val="00A87137"/>
    <w:rsid w:val="00A9338A"/>
    <w:rsid w:val="00A97774"/>
    <w:rsid w:val="00AA0707"/>
    <w:rsid w:val="00AB1B7A"/>
    <w:rsid w:val="00AB3E99"/>
    <w:rsid w:val="00AB40B3"/>
    <w:rsid w:val="00AC0FC9"/>
    <w:rsid w:val="00AC7B1E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0EE4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5788A"/>
    <w:rsid w:val="00B60797"/>
    <w:rsid w:val="00B61708"/>
    <w:rsid w:val="00B63721"/>
    <w:rsid w:val="00B6376D"/>
    <w:rsid w:val="00B65458"/>
    <w:rsid w:val="00B673E6"/>
    <w:rsid w:val="00B70027"/>
    <w:rsid w:val="00B7059B"/>
    <w:rsid w:val="00B74C16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97F7E"/>
    <w:rsid w:val="00BA03D5"/>
    <w:rsid w:val="00BA1AF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24AF7"/>
    <w:rsid w:val="00C25618"/>
    <w:rsid w:val="00C352B3"/>
    <w:rsid w:val="00C37C8E"/>
    <w:rsid w:val="00C42F14"/>
    <w:rsid w:val="00C46493"/>
    <w:rsid w:val="00C50C73"/>
    <w:rsid w:val="00C51CCA"/>
    <w:rsid w:val="00C53312"/>
    <w:rsid w:val="00C5591D"/>
    <w:rsid w:val="00C56A49"/>
    <w:rsid w:val="00C638AC"/>
    <w:rsid w:val="00C66C93"/>
    <w:rsid w:val="00C750B1"/>
    <w:rsid w:val="00C81E4C"/>
    <w:rsid w:val="00C84907"/>
    <w:rsid w:val="00C920C7"/>
    <w:rsid w:val="00C94531"/>
    <w:rsid w:val="00C955BE"/>
    <w:rsid w:val="00C9613C"/>
    <w:rsid w:val="00CA4B80"/>
    <w:rsid w:val="00CA6A31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3C11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2680D"/>
    <w:rsid w:val="00D30AC9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2852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6A06"/>
    <w:rsid w:val="00E57E28"/>
    <w:rsid w:val="00E60B47"/>
    <w:rsid w:val="00E660F3"/>
    <w:rsid w:val="00E70CE9"/>
    <w:rsid w:val="00E80CAC"/>
    <w:rsid w:val="00E81504"/>
    <w:rsid w:val="00E82802"/>
    <w:rsid w:val="00E84BF3"/>
    <w:rsid w:val="00E938A7"/>
    <w:rsid w:val="00E9409C"/>
    <w:rsid w:val="00E95BF0"/>
    <w:rsid w:val="00E973EE"/>
    <w:rsid w:val="00EA2F1F"/>
    <w:rsid w:val="00EA68D2"/>
    <w:rsid w:val="00EB2985"/>
    <w:rsid w:val="00EB3F00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76CEF"/>
    <w:rsid w:val="00F8166E"/>
    <w:rsid w:val="00F81C31"/>
    <w:rsid w:val="00F87A01"/>
    <w:rsid w:val="00F941C8"/>
    <w:rsid w:val="00F96C70"/>
    <w:rsid w:val="00FA1DD9"/>
    <w:rsid w:val="00FA4BBE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48EE"/>
    <w:rsid w:val="00FD5240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0611-4270-4B54-82AE-C12587C1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175</cp:revision>
  <cp:lastPrinted>2021-07-05T02:11:00Z</cp:lastPrinted>
  <dcterms:created xsi:type="dcterms:W3CDTF">2021-12-11T07:19:00Z</dcterms:created>
  <dcterms:modified xsi:type="dcterms:W3CDTF">2022-04-06T08:14:00Z</dcterms:modified>
</cp:coreProperties>
</file>