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#1002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03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02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3,678,968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37,115</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3,582,529</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59,324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₱1,166,400,388.24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₱150,746,240.19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₱68,614,227.99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sz w:val="24"/>
          <w:szCs w:val="24"/>
          <w:rtl w:val="0"/>
        </w:rPr>
        <w:t xml:space="preserve">489,259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₱307,682,570.28</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₱260,974,018.34</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non-food items (FNIs)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sz w:val="24"/>
          <w:szCs w:val="24"/>
          <w:rtl w:val="0"/>
        </w:rPr>
        <w:t xml:space="preserve">₱446,997,559.43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150,746,240.19</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489,259</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307,682,570.28</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260,974,018.34</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446,997,559.43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1,166,400,388.24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73,475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45,450,475.00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111,889,385.58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135,290,530.48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292,630,391.06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19,599,067.00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5,530,220.00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11,838,344.90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36,307,385.25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17,640,425.75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7,885,202.91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57,522,223.06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10,672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7,070,654.10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4,134,042.10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63,901,662.66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80,106,359.33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46,629,183.47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24,283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12,071,694.64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7,801,936.98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54,801,243.77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237,229.60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24,023,397.06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22,023,428.06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26,569,964.79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25,223,042.82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80,009,753.17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28,285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16,777,872.50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11,379,992.00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49,604,465.30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46,021,841.78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129,949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88,719,194.00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10,692,727.20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105,384,673.85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28,993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18,617,432.26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3,560,138.66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25,781,410.33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52,959,800.37</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03 April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Bmureau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#1002 on the Coronavirus Disease (COVID19) as of 03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