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#1005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06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05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3,679,983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33,629</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3,586,984</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59,370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₱1,211,021,196.20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₱146,042,412.97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color w:val="0070c0"/>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color w:val="0070c0"/>
          <w:sz w:val="24"/>
          <w:szCs w:val="24"/>
          <w:rtl w:val="0"/>
        </w:rPr>
        <w:t xml:space="preserve">Quick Response Fund (QRF)</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536,685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₱340,700,798.81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₱256,127,496.49</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₱468,150,487.93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146,042,412.97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536,685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340,700,798.81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256,127,496.49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468,150,487.93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1,211,021,196.20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46,435,325.00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111,564,385.58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132,403,470.48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290,403,181.06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19,599,067.00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5,613,310.00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43,165,711.25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17,640,425.75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7,885,202.91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57,522,223.06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7,105,851.10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3,519,686.40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79,578,773.13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25,677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12,754,754.64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8,394,992.38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56,077,359.17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27,726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19,988,869.91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24,514,743.24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31,557,442.82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82,254,373.47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27,331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16,225,983.50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21,081,030.80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51,242,006.30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123,419,194.00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11,047,227.20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140,439,173.85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17,735,910.94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3,560,138.66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27,274,460.33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53,571,329.05</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06 April 2022, 4PM. Replenishment of Standby Funds for DSWD-FO MIMAROPA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#1005 on the Coronavirus Disease (COVID19) as of 06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