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#1007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08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07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3,680,514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31,472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3,589,451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59,591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₱1,225,085,484.65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₱146,109,022.97 standby funds</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548,809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₱345,757,021.65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₱265,060,349.98</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₱468,159,090.05</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146,109,022.97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548,809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345,757,021.65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265,060,349.98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468,159,090.05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1,225,085,484.65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82,229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50,992,925.00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108,500,802.49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129,189,510.48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288,683,237.97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27,982,125.40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33,149,049.40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8,704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5,613,310.00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43,165,711.25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18,894,825.75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4,594,748.41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55,486,168.56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5,283,951.78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30,722,597.11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6,785,997.10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3,520,201.20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79,259,433.93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46,944,806.25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26,082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12,904,545.17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8,133,055.89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60,885,213.21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11,810,043.00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29,252,302.71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7,745,420.00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27,795,256.58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44,253,059.19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15,102,538.23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38,627,197.60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31,374,402.82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80,517,498.47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27,331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16,225,983.50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8,934,992.00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21,081,030.80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46,308,616.30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116,590,912.00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10,322,877.20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132,866,874.57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27,189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17,722,418.73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26,572,433.72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52,132,148.01</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08 April 2022, 4PM. Replenishment of Standby Funds for DSWD-FO XI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#1007 on the Coronavirus Disease (COVID19) as of 08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