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#1008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09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08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3,680,802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30,527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3,590,615</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59,660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₱1,229,687,980.47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₱146,109,022.97 standby funds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 and FOs. Of the said amount, </w:t>
      </w:r>
      <w:r w:rsidDel="00000000" w:rsidR="00000000" w:rsidRPr="00000000">
        <w:rPr>
          <w:rFonts w:ascii="Arial" w:cs="Arial" w:eastAsia="Arial" w:hAnsi="Arial"/>
          <w:b w:val="1"/>
          <w:sz w:val="24"/>
          <w:szCs w:val="24"/>
          <w:rtl w:val="0"/>
        </w:rPr>
        <w:t xml:space="preserve">₱68,594,777.99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547,704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₱345,219,296.00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₱266,049,149.98</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₱472,310,511.52</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w:t>
      </w:r>
      <w:r w:rsidDel="00000000" w:rsidR="00000000" w:rsidRPr="00000000">
        <w:rPr>
          <w:rFonts w:ascii="Arial" w:cs="Arial" w:eastAsia="Arial" w:hAnsi="Arial"/>
          <w:color w:val="202124"/>
          <w:sz w:val="24"/>
          <w:szCs w:val="24"/>
          <w:rtl w:val="0"/>
        </w:rPr>
        <w:t xml:space="preserve">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395"/>
        <w:gridCol w:w="1560"/>
        <w:tblGridChange w:id="0">
          <w:tblGrid>
            <w:gridCol w:w="1605"/>
            <w:gridCol w:w="1245"/>
            <w:gridCol w:w="1170"/>
            <w:gridCol w:w="1350"/>
            <w:gridCol w:w="1410"/>
            <w:gridCol w:w="1395"/>
            <w:gridCol w:w="156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6"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6"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202124" w:space="0" w:sz="6" w:val="single"/>
              <w:left w:color="202124"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4F">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146,109,022.97</w:t>
            </w:r>
          </w:p>
        </w:tc>
        <w:tc>
          <w:tcPr>
            <w:tcBorders>
              <w:top w:color="202124" w:space="0" w:sz="6" w:val="single"/>
              <w:left w:color="000000"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50">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547,704</w:t>
            </w:r>
          </w:p>
        </w:tc>
        <w:tc>
          <w:tcPr>
            <w:tcBorders>
              <w:top w:color="202124" w:space="0" w:sz="6" w:val="single"/>
              <w:left w:color="000000"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51">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345,219,296.00</w:t>
            </w:r>
          </w:p>
        </w:tc>
        <w:tc>
          <w:tcPr>
            <w:tcBorders>
              <w:top w:color="202124" w:space="0" w:sz="6" w:val="single"/>
              <w:left w:color="000000"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52">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266,049,149.98</w:t>
            </w:r>
          </w:p>
        </w:tc>
        <w:tc>
          <w:tcPr>
            <w:tcBorders>
              <w:top w:color="202124" w:space="0" w:sz="6" w:val="single"/>
              <w:left w:color="000000"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53">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472,310,511.52</w:t>
            </w:r>
          </w:p>
        </w:tc>
        <w:tc>
          <w:tcPr>
            <w:tcBorders>
              <w:top w:color="202124" w:space="0" w:sz="6" w:val="single"/>
              <w:left w:color="000000" w:space="0" w:sz="6" w:val="single"/>
              <w:bottom w:color="000000" w:space="0" w:sz="6" w:val="single"/>
              <w:right w:color="000000" w:space="0" w:sz="6" w:val="single"/>
            </w:tcBorders>
            <w:shd w:fill="cfe2f3" w:val="clear"/>
            <w:tcMar>
              <w:top w:w="43.2" w:type="dxa"/>
              <w:left w:w="43.2" w:type="dxa"/>
              <w:bottom w:w="43.2" w:type="dxa"/>
              <w:right w:w="43.2" w:type="dxa"/>
            </w:tcMar>
            <w:vAlign w:val="center"/>
          </w:tcPr>
          <w:p w:rsidR="00000000" w:rsidDel="00000000" w:rsidP="00000000" w:rsidRDefault="00000000" w:rsidRPr="00000000" w14:paraId="00001D54">
            <w:pPr>
              <w:spacing w:after="0" w:line="240" w:lineRule="auto"/>
              <w:jc w:val="right"/>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1,229,687,980.47</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68,594,777.99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68,594,777.99</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82,229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5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50,992,925.00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108,500,802.49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129,189,510.48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288,683,237.97</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3,737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2,324,414.00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27,982,125.40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2,842,510.00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33,149,049.40</w:t>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8,704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5,613,310.00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13,938,820.35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6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18,613,580.90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43,165,711.25</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30,278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18,894,825.75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4,594,748.41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26,996,594.40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55,486,168.56</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5,955,038.04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10,377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5,283,951.78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3,822,872.44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15,660,734.85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7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30,722,597.11</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5,000,000.47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10,308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6,785,997.10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3,520,201.20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63,953,235.16</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79,259,433.93</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5,315,622.78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21,210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15,063,030.57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9,984,849.00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16,581,303.90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46,944,806.25</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5,000,642.50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8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26,082</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12,904,545.17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8,133,055.89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34,846,969.65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60,885,213.21</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5,000,661.42</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23,153</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11,275,443.00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990,654.00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12,439,744.29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29,706,502.71</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14,614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7,745,420.00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9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27,795,256.58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3,712,382.61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44,253,059.19</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22,736</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15,102,538.23</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4,186,592.50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14,338,066.87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38,627,197.60</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24,085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13,162,211.65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3,903,982.72</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9,324,796.51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A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31,390,990.88</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6,193,317.50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26,661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19,211,952.41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23,737,825.74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31,374,402.82</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80,517,498.47</w:t>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66,610.00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27,331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16,225,983.50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8,934,992.00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C">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21,081,030.80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46,308,616.30</w:t>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B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5,000,969.85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16,991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9,248,300.00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8,153,355.00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3">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28,016,016.93</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50,418,641.78</w:t>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5,000,000.00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170,093</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116,590,912.00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953,085.37</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A">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10,322,877.20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B">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132,866,874.57</w:t>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D">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4,980,563.30</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E">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1,931</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CF">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1,074,242.76</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0">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4,079,454.45</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1">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2,292,898.96</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2">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12,427,159.47</w:t>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000000" w:space="0" w:sz="6" w:val="single"/>
              <w:left w:color="202124"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4">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5,000,819.12</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5">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27,184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6">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17,719,293.08</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7">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2,836,476.44</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8">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30,723,855.19</w:t>
            </w:r>
          </w:p>
        </w:tc>
        <w:tc>
          <w:tcPr>
            <w:tcBorders>
              <w:top w:color="000000" w:space="0" w:sz="6" w:val="single"/>
              <w:left w:color="000000" w:space="0" w:sz="6" w:val="single"/>
              <w:bottom w:color="000000" w:space="0" w:sz="6" w:val="single"/>
              <w:right w:color="000000" w:space="0" w:sz="6" w:val="single"/>
            </w:tcBorders>
            <w:tcMar>
              <w:top w:w="43.2" w:type="dxa"/>
              <w:left w:w="43.2" w:type="dxa"/>
              <w:bottom w:w="43.2" w:type="dxa"/>
              <w:right w:w="43.2" w:type="dxa"/>
            </w:tcMar>
            <w:vAlign w:val="center"/>
          </w:tcPr>
          <w:p w:rsidR="00000000" w:rsidDel="00000000" w:rsidP="00000000" w:rsidRDefault="00000000" w:rsidRPr="00000000" w14:paraId="00001DD9">
            <w:pPr>
              <w:spacing w:after="0" w:line="240" w:lineRule="auto"/>
              <w:jc w:val="righ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56,280,443.83</w:t>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09 April 2022, 4PM. Replenishment of Standby Funds for DSWD-FO XI is currently being processed.</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0">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C">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E">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8">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9">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E">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8">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9">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9">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B">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E">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7">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7">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8">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0">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1">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6">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A">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D">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E">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2">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B">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#1008 on the Coronavirus Disease (COVID19) as of 09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4">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5">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