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#1013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14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13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3,682,083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25,134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3,597,058</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59,891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₱3,549,933,036.21</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₱2,785,842,751.08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2,785,842,751.08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3,549,933,036.21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96,487,020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99,563,970.23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25,070,974.66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1,923,404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1,923,403.75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264,030.19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1,053,137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1,053,137.15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11,969,446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13,550,645.72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839,564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839,563.59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₱1,191,099,007.33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202124"/>
          <w:sz w:val="24"/>
          <w:szCs w:val="24"/>
          <w:rtl w:val="0"/>
        </w:rPr>
        <w:t xml:space="preserve">₱141,109,022.97 standby funds</w:t>
      </w:r>
      <w:r w:rsidDel="00000000" w:rsidR="00000000" w:rsidRPr="00000000">
        <w:rPr>
          <w:rFonts w:ascii="Arial" w:cs="Arial" w:eastAsia="Arial" w:hAnsi="Arial"/>
          <w:color w:val="202124"/>
          <w:sz w:val="24"/>
          <w:szCs w:val="24"/>
          <w:rtl w:val="0"/>
        </w:rPr>
        <w:t xml:space="preserve"> in the CO and FOs. Of the said amount, </w:t>
      </w:r>
      <w:r w:rsidDel="00000000" w:rsidR="00000000" w:rsidRPr="00000000">
        <w:rPr>
          <w:rFonts w:ascii="Arial" w:cs="Arial" w:eastAsia="Arial" w:hAnsi="Arial"/>
          <w:b w:val="1"/>
          <w:color w:val="202124"/>
          <w:sz w:val="24"/>
          <w:szCs w:val="24"/>
          <w:rtl w:val="0"/>
        </w:rPr>
        <w:t xml:space="preserve">₱68,594,777.99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202124"/>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w:t>
      </w:r>
      <w:r w:rsidDel="00000000" w:rsidR="00000000" w:rsidRPr="00000000">
        <w:rPr>
          <w:rFonts w:ascii="Arial" w:cs="Arial" w:eastAsia="Arial" w:hAnsi="Arial"/>
          <w:sz w:val="24"/>
          <w:szCs w:val="24"/>
          <w:rtl w:val="0"/>
        </w:rPr>
        <w:t xml:space="preserve">l of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477,931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₱304,695,437.48</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₱254,728,734.12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₱490,565,812.76</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i w:val="1"/>
          <w:sz w:val="16"/>
          <w:szCs w:val="16"/>
        </w:rPr>
      </w:pPr>
      <w:r w:rsidDel="00000000" w:rsidR="00000000" w:rsidRPr="00000000">
        <w:rPr>
          <w:rFonts w:ascii="Arial" w:cs="Arial" w:eastAsia="Arial" w:hAnsi="Arial"/>
          <w:b w:val="1"/>
          <w:i w:val="1"/>
          <w:sz w:val="20"/>
          <w:szCs w:val="20"/>
          <w:rtl w:val="0"/>
        </w:rPr>
        <w:t xml:space="preserve">Table 2. Available Stockpiles and Standby Funds</w:t>
      </w:r>
      <w:r w:rsidDel="00000000" w:rsidR="00000000" w:rsidRPr="00000000">
        <w:rPr>
          <w:rtl w:val="0"/>
        </w:rPr>
      </w:r>
    </w:p>
    <w:p w:rsidR="00000000" w:rsidDel="00000000" w:rsidP="00000000" w:rsidRDefault="00000000" w:rsidRPr="00000000" w14:paraId="00001D40">
      <w:pPr>
        <w:spacing w:after="0" w:line="240" w:lineRule="auto"/>
        <w:ind w:left="0" w:right="57" w:firstLine="0"/>
        <w:jc w:val="both"/>
        <w:rPr>
          <w:rFonts w:ascii="Arial" w:cs="Arial" w:eastAsia="Arial" w:hAnsi="Arial"/>
          <w:i w:val="1"/>
          <w:sz w:val="16"/>
          <w:szCs w:val="16"/>
        </w:rPr>
      </w:pPr>
      <w:r w:rsidDel="00000000" w:rsidR="00000000" w:rsidRPr="00000000">
        <w:rPr>
          <w:rtl w:val="0"/>
        </w:rPr>
      </w:r>
    </w:p>
    <w:tbl>
      <w:tblPr>
        <w:tblStyle w:val="Table24"/>
        <w:tblW w:w="9751.51181102362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36.570596483659"/>
        <w:gridCol w:w="1335.8235357566607"/>
        <w:gridCol w:w="1335.8235357566607"/>
        <w:gridCol w:w="1335.8235357566607"/>
        <w:gridCol w:w="1335.8235357566607"/>
        <w:gridCol w:w="1335.8235357566607"/>
        <w:gridCol w:w="1335.8235357566607"/>
        <w:tblGridChange w:id="0">
          <w:tblGrid>
            <w:gridCol w:w="1736.570596483659"/>
            <w:gridCol w:w="1335.8235357566607"/>
            <w:gridCol w:w="1335.8235357566607"/>
            <w:gridCol w:w="1335.8235357566607"/>
            <w:gridCol w:w="1335.8235357566607"/>
            <w:gridCol w:w="1335.8235357566607"/>
            <w:gridCol w:w="1335.8235357566607"/>
          </w:tblGrid>
        </w:tblGridChange>
      </w:tblGrid>
      <w:tr>
        <w:trPr>
          <w:cantSplit w:val="0"/>
          <w:trHeight w:val="315"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1">
            <w:pPr>
              <w:spacing w:after="0" w:line="276"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OFFICE</w:t>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2">
            <w:pPr>
              <w:spacing w:after="0" w:line="276"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4"/>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3">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STOCKPILE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7">
            <w:pPr>
              <w:spacing w:after="0" w:line="276"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48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8">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9">
            <w:pPr>
              <w:spacing w:after="0" w:line="276" w:lineRule="auto"/>
              <w:rPr>
                <w:rFonts w:ascii="Arial" w:cs="Arial" w:eastAsia="Arial" w:hAnsi="Arial"/>
                <w:sz w:val="20"/>
                <w:szCs w:val="20"/>
              </w:rPr>
            </w:pPr>
            <w:r w:rsidDel="00000000" w:rsidR="00000000" w:rsidRPr="00000000">
              <w:rPr>
                <w:rtl w:val="0"/>
              </w:rPr>
            </w:r>
          </w:p>
        </w:tc>
        <w:tc>
          <w:tcPr>
            <w:gridSpan w:val="2"/>
            <w:tcBorders>
              <w:top w:color="cccccc" w:space="0" w:sz="4"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A">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C">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cccccc" w:space="0" w:sz="4"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D">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F">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0">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1">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2">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3">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4">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5">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6">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141,109,022.97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477,931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304,695,437.48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254,728,734.12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490,565,812.76</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1,191,099,007.33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D">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4">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NRLMB-NROC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57,629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35,898,725.00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102,793,478.38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152,030,848.03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290,723,051.41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B">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NRLMB-VDRC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25,441,612.90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25,521,662.90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2">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5,567,920.00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43,120,321.25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9">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19,304,425.75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4,225,620.41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55,526,640.56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0">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5,283,951.78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30,722,597.11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7">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CALABARZON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5,264,905.80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3,118,110.00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77,336,251.43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E">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MIMAROPA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15,009,949.60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18,525,527.34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48,835,948.72</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5">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25,998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12,919,444.97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7,540,166.54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34,846,969.65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60,307,223.66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C">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4,223,112.00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665,750.80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22,329,268.51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3">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7,467,170.00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27,534,799.08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43,714,351.69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A">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8,565,617.27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4,280,092.50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27,183,776.64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1">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13,162,211.65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31,390,990.88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8">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19,211,952.41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23,737,825.74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29,720,122.82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78,863,218.47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F">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66,610.00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8,251,361.00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7,718,382.00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18,004,530.80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34,040,883.80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6">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50,418,641.78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D">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CARAGA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170,093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117,288,042.00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953,085.37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10,305,587.20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133,546,714.57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4">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NCR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422,736.60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3,478,009.21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12,960,763.56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B">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17,597,571.65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2,836,476.44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E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30,527,055.19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E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55,961,922.40</w:t>
            </w:r>
            <w:r w:rsidDel="00000000" w:rsidR="00000000" w:rsidRPr="00000000">
              <w:rPr>
                <w:rtl w:val="0"/>
              </w:rPr>
            </w:r>
          </w:p>
        </w:tc>
      </w:tr>
    </w:tbl>
    <w:p w:rsidR="00000000" w:rsidDel="00000000" w:rsidP="00000000" w:rsidRDefault="00000000" w:rsidRPr="00000000" w14:paraId="00001DE2">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14 April 2022, 4PM. Replenishment of Standby Funds for DSWD-FOs VIII and XI is currently being processed.</w:t>
      </w:r>
    </w:p>
    <w:p w:rsidR="00000000" w:rsidDel="00000000" w:rsidP="00000000" w:rsidRDefault="00000000" w:rsidRPr="00000000" w14:paraId="00001DE3">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4">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5">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D">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2">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8">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9">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A">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1">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62">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3">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4">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5">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6">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8">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9">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A">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4">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A">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B">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C">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F">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5">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6">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7">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8">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E">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F">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5">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6">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8">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9">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A">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B">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A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A1">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A2">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3">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4">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7">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8">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9">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A">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B">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4">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5">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B">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4">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5">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B">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D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D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D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7">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9">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A">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B">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C">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D">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E">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F">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E0">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E1">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2">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3">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4">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7">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957.99999999995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13 April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9">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A">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B">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3">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4">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6">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8">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F00">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01">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F02">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3">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4">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B">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C">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1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11">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12">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3">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6">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C">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D">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E">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F">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7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7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B">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8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8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8">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C">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D">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E">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F">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90">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9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9">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A">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D">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E">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A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A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F">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B0">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1">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4">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8">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9">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A">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E">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C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C1">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C2">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4">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5">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6">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9">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A">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C">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D">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E">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F">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E0">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E1">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E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E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JOANNA CAMILLE R. JACINTO</w:t>
            </w:r>
          </w:p>
          <w:p w:rsidR="00000000" w:rsidDel="00000000" w:rsidP="00000000" w:rsidRDefault="00000000" w:rsidRPr="00000000" w14:paraId="00001FE5">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E6">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7">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A">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0">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1">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2">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F3">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#1013 on the Coronavirus Disease (COVID19) as of 14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C">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D">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E">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F">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